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80" w:hanging="2880" w:hangingChars="900"/>
        <w:jc w:val="both"/>
        <w:rPr>
          <w:rFonts w:hint="eastAsia" w:ascii="宋体" w:hAnsi="宋体"/>
          <w:color w:val="auto"/>
          <w:sz w:val="32"/>
          <w:szCs w:val="32"/>
          <w:u w:val="single"/>
          <w:lang w:val="en-US" w:eastAsia="zh-CN"/>
        </w:rPr>
      </w:pPr>
      <w:r>
        <w:rPr>
          <w:rFonts w:hint="eastAsia" w:ascii="宋体" w:hAnsi="宋体"/>
          <w:color w:val="auto"/>
          <w:sz w:val="32"/>
          <w:szCs w:val="32"/>
          <w:u w:val="single"/>
          <w:lang w:eastAsia="zh-CN"/>
        </w:rPr>
        <w:t>附件</w:t>
      </w:r>
      <w:r>
        <w:rPr>
          <w:rFonts w:hint="eastAsia" w:ascii="宋体" w:hAnsi="宋体"/>
          <w:color w:val="auto"/>
          <w:sz w:val="32"/>
          <w:szCs w:val="32"/>
          <w:u w:val="single"/>
          <w:lang w:val="en-US" w:eastAsia="zh-CN"/>
        </w:rPr>
        <w:t>2</w:t>
      </w:r>
    </w:p>
    <w:p>
      <w:pPr>
        <w:jc w:val="center"/>
        <w:rPr>
          <w:rFonts w:hint="eastAsia"/>
          <w:color w:val="auto"/>
          <w:sz w:val="48"/>
          <w:szCs w:val="48"/>
          <w:highlight w:val="none"/>
        </w:rPr>
      </w:pPr>
    </w:p>
    <w:p>
      <w:pPr>
        <w:jc w:val="center"/>
        <w:rPr>
          <w:color w:val="auto"/>
          <w:sz w:val="48"/>
          <w:szCs w:val="48"/>
          <w:highlight w:val="none"/>
        </w:rPr>
      </w:pPr>
      <w:bookmarkStart w:id="10" w:name="_GoBack"/>
      <w:bookmarkEnd w:id="10"/>
      <w:r>
        <w:rPr>
          <w:rFonts w:hint="eastAsia"/>
          <w:color w:val="auto"/>
          <w:sz w:val="48"/>
          <w:szCs w:val="48"/>
          <w:highlight w:val="none"/>
        </w:rPr>
        <w:t>建设工程造价咨询合同</w:t>
      </w:r>
    </w:p>
    <w:p>
      <w:pPr>
        <w:jc w:val="center"/>
        <w:rPr>
          <w:b/>
          <w:color w:val="auto"/>
          <w:sz w:val="72"/>
          <w:szCs w:val="72"/>
          <w:highlight w:val="none"/>
        </w:rPr>
      </w:pPr>
    </w:p>
    <w:p>
      <w:pPr>
        <w:rPr>
          <w:rFonts w:hint="eastAsia"/>
          <w:color w:val="auto"/>
          <w:highlight w:val="none"/>
        </w:rPr>
      </w:pPr>
      <w:r>
        <w:rPr>
          <w:rFonts w:hint="eastAsia"/>
          <w:color w:val="auto"/>
          <w:highlight w:val="none"/>
        </w:rPr>
        <w:br w:type="textWrapping"/>
      </w:r>
      <w:r>
        <w:rPr>
          <w:rFonts w:hint="eastAsia"/>
          <w:color w:val="auto"/>
          <w:highlight w:val="none"/>
        </w:rPr>
        <w:t xml:space="preserve">                    </w:t>
      </w:r>
    </w:p>
    <w:p>
      <w:pPr>
        <w:rPr>
          <w:rFonts w:hint="eastAsia"/>
          <w:color w:val="auto"/>
          <w:highlight w:val="none"/>
        </w:rPr>
      </w:pPr>
    </w:p>
    <w:p>
      <w:pPr>
        <w:ind w:firstLine="1470" w:firstLineChars="700"/>
        <w:rPr>
          <w:rFonts w:hint="eastAsia" w:eastAsia="黑体"/>
          <w:b/>
          <w:color w:val="auto"/>
          <w:sz w:val="28"/>
          <w:szCs w:val="28"/>
          <w:highlight w:val="none"/>
        </w:rPr>
      </w:pPr>
      <w:r>
        <w:rPr>
          <w:rFonts w:hint="eastAsia"/>
          <w:color w:val="auto"/>
          <w:highlight w:val="none"/>
        </w:rPr>
        <w:t xml:space="preserve"> </w:t>
      </w:r>
      <w:r>
        <w:rPr>
          <w:rFonts w:hint="eastAsia" w:eastAsia="华文中宋"/>
          <w:b/>
          <w:color w:val="auto"/>
          <w:sz w:val="30"/>
          <w:szCs w:val="30"/>
          <w:highlight w:val="none"/>
        </w:rPr>
        <w:t>合同编号：</w:t>
      </w:r>
    </w:p>
    <w:p>
      <w:pPr>
        <w:jc w:val="center"/>
        <w:rPr>
          <w:rFonts w:hint="eastAsia" w:eastAsia="华文中宋"/>
          <w:b/>
          <w:color w:val="auto"/>
          <w:sz w:val="30"/>
          <w:szCs w:val="30"/>
          <w:highlight w:val="none"/>
          <w:lang w:eastAsia="zh-CN"/>
        </w:rPr>
      </w:pPr>
    </w:p>
    <w:p>
      <w:pPr>
        <w:ind w:firstLine="1506" w:firstLineChars="500"/>
        <w:jc w:val="both"/>
        <w:rPr>
          <w:rFonts w:hint="eastAsia" w:eastAsia="华文中宋"/>
          <w:b/>
          <w:color w:val="auto"/>
          <w:sz w:val="30"/>
          <w:szCs w:val="30"/>
          <w:highlight w:val="none"/>
        </w:rPr>
      </w:pPr>
      <w:r>
        <w:rPr>
          <w:rFonts w:hint="eastAsia" w:eastAsia="华文中宋"/>
          <w:b/>
          <w:color w:val="auto"/>
          <w:sz w:val="30"/>
          <w:szCs w:val="30"/>
          <w:highlight w:val="none"/>
          <w:lang w:eastAsia="zh-CN"/>
        </w:rPr>
        <w:t>项目编号：</w:t>
      </w:r>
    </w:p>
    <w:p>
      <w:pPr>
        <w:spacing w:line="360" w:lineRule="auto"/>
        <w:jc w:val="center"/>
        <w:rPr>
          <w:b/>
          <w:color w:val="auto"/>
          <w:sz w:val="52"/>
          <w:szCs w:val="52"/>
          <w:highlight w:val="none"/>
        </w:rPr>
      </w:pPr>
    </w:p>
    <w:p>
      <w:pPr>
        <w:spacing w:line="360" w:lineRule="auto"/>
        <w:jc w:val="center"/>
        <w:rPr>
          <w:b/>
          <w:color w:val="auto"/>
          <w:sz w:val="52"/>
          <w:szCs w:val="52"/>
          <w:highlight w:val="none"/>
        </w:rPr>
      </w:pPr>
    </w:p>
    <w:p>
      <w:pPr>
        <w:ind w:left="2880" w:hanging="2880" w:hangingChars="900"/>
        <w:jc w:val="both"/>
        <w:rPr>
          <w:rFonts w:hint="eastAsia"/>
          <w:u w:val="single"/>
        </w:rPr>
      </w:pPr>
      <w:r>
        <w:rPr>
          <w:rFonts w:hint="eastAsia"/>
          <w:color w:val="FF0000"/>
          <w:sz w:val="32"/>
          <w:szCs w:val="32"/>
          <w:highlight w:val="none"/>
          <w:lang w:val="en-US" w:eastAsia="zh-CN"/>
        </w:rPr>
        <w:t xml:space="preserve">        </w:t>
      </w:r>
      <w:r>
        <w:rPr>
          <w:rFonts w:hint="eastAsia"/>
          <w:color w:val="auto"/>
          <w:sz w:val="32"/>
          <w:szCs w:val="32"/>
          <w:highlight w:val="none"/>
        </w:rPr>
        <w:t>项目名称：</w:t>
      </w:r>
      <w:r>
        <w:rPr>
          <w:rFonts w:hint="eastAsia" w:ascii="宋体" w:hAnsi="宋体"/>
          <w:color w:val="auto"/>
          <w:sz w:val="32"/>
          <w:szCs w:val="32"/>
          <w:u w:val="single"/>
        </w:rPr>
        <w:t>广西警察学院仙葫校区教工公寓楼、公安技术实验中心大楼建设项目工程量清单及招标控制价编制服务采购</w:t>
      </w:r>
    </w:p>
    <w:p>
      <w:pPr>
        <w:spacing w:line="480" w:lineRule="auto"/>
        <w:ind w:firstLine="1417" w:firstLineChars="443"/>
      </w:pPr>
      <w:r>
        <w:rPr>
          <w:rFonts w:hint="eastAsia"/>
          <w:color w:val="auto"/>
          <w:sz w:val="32"/>
          <w:szCs w:val="32"/>
          <w:highlight w:val="none"/>
        </w:rPr>
        <w:t>建设地点：广西警察学院</w:t>
      </w:r>
      <w:r>
        <w:rPr>
          <w:rFonts w:hint="eastAsia"/>
          <w:color w:val="auto"/>
          <w:sz w:val="32"/>
          <w:szCs w:val="32"/>
          <w:highlight w:val="none"/>
          <w:lang w:eastAsia="zh-CN"/>
        </w:rPr>
        <w:t>仙葫校区</w:t>
      </w:r>
      <w:r>
        <w:rPr>
          <w:rFonts w:hint="eastAsia"/>
          <w:color w:val="auto"/>
          <w:sz w:val="32"/>
          <w:szCs w:val="32"/>
          <w:highlight w:val="none"/>
        </w:rPr>
        <w:t xml:space="preserve"> </w:t>
      </w:r>
    </w:p>
    <w:p>
      <w:pPr>
        <w:spacing w:line="480" w:lineRule="auto"/>
        <w:ind w:firstLine="1417" w:firstLineChars="443"/>
        <w:rPr>
          <w:color w:val="auto"/>
          <w:sz w:val="32"/>
          <w:szCs w:val="32"/>
          <w:highlight w:val="none"/>
        </w:rPr>
      </w:pPr>
      <w:r>
        <w:rPr>
          <w:rFonts w:hint="eastAsia"/>
          <w:color w:val="auto"/>
          <w:sz w:val="32"/>
          <w:szCs w:val="32"/>
          <w:highlight w:val="none"/>
        </w:rPr>
        <w:t xml:space="preserve">委托单位： </w:t>
      </w:r>
      <w:r>
        <w:rPr>
          <w:rFonts w:hint="eastAsia" w:ascii="宋体" w:hAnsi="宋体" w:cs="宋体"/>
          <w:bCs/>
          <w:color w:val="auto"/>
          <w:sz w:val="32"/>
          <w:szCs w:val="32"/>
          <w:highlight w:val="none"/>
        </w:rPr>
        <w:t>广西警察学院</w:t>
      </w:r>
    </w:p>
    <w:p>
      <w:pPr>
        <w:spacing w:line="480" w:lineRule="auto"/>
        <w:ind w:firstLine="1417" w:firstLineChars="443"/>
        <w:rPr>
          <w:color w:val="auto"/>
          <w:sz w:val="28"/>
          <w:szCs w:val="28"/>
          <w:highlight w:val="none"/>
        </w:rPr>
      </w:pPr>
      <w:r>
        <w:rPr>
          <w:rFonts w:hint="eastAsia"/>
          <w:color w:val="auto"/>
          <w:sz w:val="32"/>
          <w:szCs w:val="32"/>
          <w:highlight w:val="none"/>
        </w:rPr>
        <w:t>承接单位：</w:t>
      </w:r>
      <w:r>
        <w:rPr>
          <w:rFonts w:hint="eastAsia"/>
          <w:color w:val="auto"/>
          <w:sz w:val="28"/>
          <w:szCs w:val="28"/>
          <w:highlight w:val="none"/>
        </w:rPr>
        <w:t xml:space="preserve"> </w:t>
      </w:r>
    </w:p>
    <w:p>
      <w:pPr>
        <w:spacing w:line="480" w:lineRule="auto"/>
        <w:ind w:firstLine="210" w:firstLineChars="100"/>
        <w:rPr>
          <w:color w:val="auto"/>
          <w:highlight w:val="none"/>
        </w:rPr>
      </w:pPr>
      <w:r>
        <w:rPr>
          <w:rFonts w:hint="eastAsia"/>
          <w:color w:val="auto"/>
          <w:highlight w:val="none"/>
        </w:rPr>
        <w:t xml:space="preserve"> </w:t>
      </w:r>
    </w:p>
    <w:p>
      <w:pPr>
        <w:tabs>
          <w:tab w:val="left" w:pos="1620"/>
        </w:tabs>
        <w:rPr>
          <w:color w:val="auto"/>
          <w:highlight w:val="none"/>
        </w:rPr>
        <w:sectPr>
          <w:headerReference r:id="rId3" w:type="first"/>
          <w:footerReference r:id="rId5" w:type="first"/>
          <w:footerReference r:id="rId4" w:type="default"/>
          <w:pgSz w:w="11906" w:h="16838"/>
          <w:pgMar w:top="1417" w:right="1134" w:bottom="1417" w:left="1134" w:header="851" w:footer="992" w:gutter="0"/>
          <w:pgNumType w:fmt="decimal" w:start="1"/>
          <w:cols w:space="720" w:num="1"/>
          <w:titlePg/>
          <w:docGrid w:linePitch="312" w:charSpace="0"/>
        </w:sectPr>
      </w:pPr>
    </w:p>
    <w:p>
      <w:pPr>
        <w:spacing w:line="360" w:lineRule="auto"/>
        <w:rPr>
          <w:rFonts w:ascii="宋体" w:hAnsi="宋体"/>
          <w:color w:val="auto"/>
          <w:szCs w:val="21"/>
          <w:highlight w:val="none"/>
        </w:rPr>
      </w:pPr>
      <w:r>
        <w:rPr>
          <w:rFonts w:hint="eastAsia" w:ascii="宋体" w:hAnsi="宋体"/>
          <w:color w:val="auto"/>
          <w:szCs w:val="21"/>
          <w:highlight w:val="none"/>
        </w:rPr>
        <w:t>委托单位（以下简称甲方）：广西警察学院</w:t>
      </w:r>
    </w:p>
    <w:p>
      <w:pPr>
        <w:pStyle w:val="5"/>
        <w:snapToGrid w:val="0"/>
        <w:spacing w:line="360" w:lineRule="auto"/>
        <w:ind w:firstLine="0"/>
        <w:rPr>
          <w:rFonts w:ascii="宋体" w:hAnsi="宋体"/>
          <w:color w:val="auto"/>
          <w:szCs w:val="21"/>
          <w:highlight w:val="none"/>
          <w:u w:val="single"/>
        </w:rPr>
      </w:pPr>
      <w:r>
        <w:rPr>
          <w:rFonts w:hint="eastAsia" w:ascii="宋体" w:hAnsi="宋体"/>
          <w:color w:val="auto"/>
          <w:szCs w:val="21"/>
          <w:highlight w:val="none"/>
        </w:rPr>
        <w:t>承接单位（以下简称乙方）：</w:t>
      </w:r>
    </w:p>
    <w:p>
      <w:pPr>
        <w:pStyle w:val="5"/>
        <w:snapToGrid w:val="0"/>
        <w:spacing w:line="360" w:lineRule="auto"/>
        <w:ind w:firstLine="0"/>
        <w:rPr>
          <w:rFonts w:ascii="宋体" w:hAnsi="宋体"/>
          <w:color w:val="auto"/>
          <w:szCs w:val="21"/>
          <w:highlight w:val="none"/>
        </w:rPr>
      </w:pPr>
    </w:p>
    <w:p>
      <w:pPr>
        <w:pStyle w:val="7"/>
        <w:tabs>
          <w:tab w:val="left" w:pos="0"/>
          <w:tab w:val="left" w:pos="360"/>
          <w:tab w:val="left" w:pos="720"/>
        </w:tabs>
        <w:adjustRightInd w:val="0"/>
        <w:snapToGrid w:val="0"/>
        <w:spacing w:line="360" w:lineRule="auto"/>
        <w:rPr>
          <w:rFonts w:hAnsi="宋体"/>
          <w:color w:val="auto"/>
          <w:szCs w:val="21"/>
          <w:highlight w:val="none"/>
        </w:rPr>
      </w:pPr>
      <w:r>
        <w:rPr>
          <w:rFonts w:hint="eastAsia" w:hAnsi="宋体"/>
          <w:color w:val="auto"/>
          <w:szCs w:val="21"/>
          <w:highlight w:val="none"/>
        </w:rPr>
        <w:t xml:space="preserve">    经甲乙双方友好协商，确定由乙方承接 造价咨询服务。为进一步明确责任，保障甲乙双方各自权益，按照《中华人民共和国合同法》，并结合国家、广西壮族自治区有关规定及本业务相关情况，签订本合同。</w:t>
      </w:r>
    </w:p>
    <w:p>
      <w:pPr>
        <w:pStyle w:val="3"/>
        <w:keepNext/>
        <w:widowControl/>
        <w:numPr>
          <w:ilvl w:val="1"/>
          <w:numId w:val="1"/>
        </w:numPr>
        <w:tabs>
          <w:tab w:val="left" w:pos="1135"/>
          <w:tab w:val="clear" w:pos="851"/>
        </w:tabs>
        <w:autoSpaceDE/>
        <w:autoSpaceDN/>
        <w:adjustRightInd/>
        <w:spacing w:before="0" w:line="360" w:lineRule="auto"/>
        <w:ind w:left="1418"/>
        <w:rPr>
          <w:rFonts w:ascii="宋体" w:hAnsi="宋体" w:eastAsia="宋体"/>
          <w:color w:val="auto"/>
          <w:sz w:val="21"/>
          <w:szCs w:val="21"/>
          <w:highlight w:val="none"/>
        </w:rPr>
      </w:pPr>
      <w:bookmarkStart w:id="0" w:name="_Toc153163636"/>
      <w:r>
        <w:rPr>
          <w:rFonts w:hint="eastAsia" w:ascii="宋体" w:hAnsi="宋体" w:eastAsia="宋体"/>
          <w:color w:val="auto"/>
          <w:sz w:val="21"/>
          <w:szCs w:val="21"/>
          <w:highlight w:val="none"/>
        </w:rPr>
        <w:t>委托项目</w:t>
      </w:r>
      <w:bookmarkEnd w:id="0"/>
    </w:p>
    <w:p>
      <w:pPr>
        <w:numPr>
          <w:ilvl w:val="0"/>
          <w:numId w:val="2"/>
        </w:numPr>
        <w:spacing w:line="360" w:lineRule="auto"/>
        <w:rPr>
          <w:rFonts w:ascii="宋体" w:hAnsi="宋体"/>
          <w:color w:val="auto"/>
          <w:szCs w:val="21"/>
          <w:highlight w:val="none"/>
          <w:u w:val="single"/>
        </w:rPr>
      </w:pPr>
      <w:r>
        <w:rPr>
          <w:rFonts w:hint="eastAsia" w:ascii="宋体" w:hAnsi="宋体"/>
          <w:color w:val="auto"/>
          <w:szCs w:val="21"/>
          <w:highlight w:val="none"/>
        </w:rPr>
        <w:t>工程名称：</w:t>
      </w:r>
      <w:r>
        <w:rPr>
          <w:rFonts w:hint="eastAsia" w:ascii="宋体" w:hAnsi="宋体"/>
          <w:color w:val="auto"/>
          <w:szCs w:val="21"/>
          <w:highlight w:val="none"/>
          <w:lang w:eastAsia="zh-CN"/>
        </w:rPr>
        <w:t>广西警察学院仙葫校区教工公寓楼、公安技术实验中心大楼建设项目工程量清单及招标控制价编制服务采购</w:t>
      </w:r>
    </w:p>
    <w:p>
      <w:pPr>
        <w:numPr>
          <w:ilvl w:val="0"/>
          <w:numId w:val="2"/>
        </w:numPr>
        <w:spacing w:line="360" w:lineRule="auto"/>
        <w:rPr>
          <w:rFonts w:ascii="宋体" w:hAnsi="宋体"/>
          <w:color w:val="auto"/>
          <w:szCs w:val="21"/>
          <w:highlight w:val="none"/>
          <w:u w:val="single"/>
        </w:rPr>
      </w:pPr>
      <w:r>
        <w:rPr>
          <w:rFonts w:hint="eastAsia" w:ascii="宋体" w:hAnsi="宋体"/>
          <w:color w:val="auto"/>
          <w:szCs w:val="21"/>
          <w:highlight w:val="none"/>
        </w:rPr>
        <w:t>工程地点：广西警察学院</w:t>
      </w:r>
      <w:r>
        <w:rPr>
          <w:rFonts w:hint="eastAsia" w:ascii="宋体" w:hAnsi="宋体"/>
          <w:color w:val="auto"/>
          <w:szCs w:val="21"/>
          <w:highlight w:val="none"/>
          <w:lang w:eastAsia="zh-CN"/>
        </w:rPr>
        <w:t>仙葫</w:t>
      </w:r>
      <w:r>
        <w:rPr>
          <w:rFonts w:hint="eastAsia" w:ascii="宋体" w:hAnsi="宋体"/>
          <w:color w:val="auto"/>
          <w:szCs w:val="21"/>
          <w:highlight w:val="none"/>
        </w:rPr>
        <w:t>校区</w:t>
      </w:r>
    </w:p>
    <w:p>
      <w:pPr>
        <w:numPr>
          <w:ilvl w:val="0"/>
          <w:numId w:val="2"/>
        </w:numPr>
        <w:spacing w:line="360" w:lineRule="auto"/>
        <w:rPr>
          <w:rFonts w:ascii="宋体" w:hAnsi="宋体"/>
          <w:color w:val="auto"/>
          <w:szCs w:val="21"/>
          <w:highlight w:val="none"/>
        </w:rPr>
      </w:pPr>
      <w:r>
        <w:rPr>
          <w:rFonts w:hint="eastAsia" w:ascii="宋体" w:hAnsi="宋体"/>
          <w:color w:val="auto"/>
          <w:szCs w:val="21"/>
          <w:highlight w:val="none"/>
        </w:rPr>
        <w:t>服务范围：</w:t>
      </w:r>
      <w:r>
        <w:rPr>
          <w:rFonts w:hint="default" w:ascii="Times New Roman" w:hAnsi="Times New Roman" w:eastAsia="宋体" w:cs="Times New Roman"/>
          <w:color w:val="auto"/>
          <w:sz w:val="21"/>
          <w:szCs w:val="21"/>
          <w:highlight w:val="none"/>
        </w:rPr>
        <w:t>工程量清单及预算控制价编制</w:t>
      </w:r>
    </w:p>
    <w:p>
      <w:pPr>
        <w:numPr>
          <w:ilvl w:val="0"/>
          <w:numId w:val="2"/>
        </w:numPr>
        <w:spacing w:line="360" w:lineRule="auto"/>
        <w:rPr>
          <w:rFonts w:ascii="宋体" w:hAnsi="宋体"/>
          <w:color w:val="auto"/>
          <w:szCs w:val="21"/>
          <w:highlight w:val="none"/>
        </w:rPr>
      </w:pPr>
      <w:r>
        <w:rPr>
          <w:rFonts w:hint="eastAsia" w:ascii="宋体" w:hAnsi="宋体"/>
          <w:color w:val="auto"/>
          <w:szCs w:val="21"/>
          <w:highlight w:val="none"/>
        </w:rPr>
        <w:t>造价咨询服务内容包括：</w:t>
      </w:r>
    </w:p>
    <w:p>
      <w:pPr>
        <w:snapToGrid w:val="0"/>
        <w:spacing w:line="360" w:lineRule="auto"/>
        <w:jc w:val="left"/>
        <w:rPr>
          <w:rFonts w:ascii="宋体" w:hAnsi="宋体"/>
          <w:color w:val="auto"/>
          <w:szCs w:val="21"/>
          <w:highlight w:val="none"/>
        </w:rPr>
      </w:pPr>
      <w:r>
        <w:rPr>
          <w:rFonts w:ascii="宋体" w:hAnsi="宋体" w:cs="宋体"/>
          <w:color w:val="auto"/>
          <w:kern w:val="0"/>
          <w:szCs w:val="21"/>
          <w:highlight w:val="none"/>
        </w:rPr>
        <w:t>（1）根据施工图纸文件、《建设工程工程量清单计价规范》，参照相关的清单计价指引</w:t>
      </w:r>
      <w:r>
        <w:rPr>
          <w:rFonts w:hint="eastAsia" w:ascii="宋体" w:hAnsi="宋体" w:cs="宋体"/>
          <w:color w:val="auto"/>
          <w:kern w:val="0"/>
          <w:szCs w:val="21"/>
          <w:highlight w:val="none"/>
        </w:rPr>
        <w:t>,</w:t>
      </w:r>
      <w:r>
        <w:rPr>
          <w:rFonts w:ascii="宋体" w:hAnsi="宋体" w:cs="宋体"/>
          <w:color w:val="auto"/>
          <w:kern w:val="0"/>
          <w:szCs w:val="21"/>
          <w:highlight w:val="none"/>
        </w:rPr>
        <w:t>设立</w:t>
      </w:r>
      <w:r>
        <w:rPr>
          <w:rFonts w:hint="eastAsia" w:ascii="宋体" w:hAnsi="宋体" w:cs="宋体"/>
          <w:color w:val="auto"/>
          <w:kern w:val="0"/>
          <w:szCs w:val="21"/>
          <w:highlight w:val="none"/>
        </w:rPr>
        <w:t>清单</w:t>
      </w:r>
      <w:r>
        <w:rPr>
          <w:rFonts w:ascii="宋体" w:hAnsi="宋体" w:cs="宋体"/>
          <w:color w:val="auto"/>
          <w:kern w:val="0"/>
          <w:szCs w:val="21"/>
          <w:highlight w:val="none"/>
        </w:rPr>
        <w:t>项目编码、确定计量单位、描述项目特征；</w:t>
      </w:r>
      <w:r>
        <w:rPr>
          <w:rFonts w:ascii="宋体" w:hAnsi="宋体" w:cs="宋体"/>
          <w:color w:val="auto"/>
          <w:kern w:val="0"/>
          <w:szCs w:val="21"/>
          <w:highlight w:val="none"/>
        </w:rPr>
        <w:br w:type="textWrapping"/>
      </w:r>
      <w:r>
        <w:rPr>
          <w:rFonts w:ascii="宋体" w:hAnsi="宋体" w:cs="宋体"/>
          <w:color w:val="auto"/>
          <w:kern w:val="0"/>
          <w:szCs w:val="21"/>
          <w:highlight w:val="none"/>
        </w:rPr>
        <w:t>（2）根据《建设工程工程量清单计价规范》，参照相关的工程预算定额、工程量计算规则计算工程量；</w:t>
      </w:r>
      <w:r>
        <w:rPr>
          <w:rFonts w:ascii="宋体" w:hAnsi="宋体" w:cs="宋体"/>
          <w:color w:val="auto"/>
          <w:kern w:val="0"/>
          <w:szCs w:val="21"/>
          <w:highlight w:val="none"/>
        </w:rPr>
        <w:br w:type="textWrapping"/>
      </w:r>
      <w:r>
        <w:rPr>
          <w:rFonts w:ascii="宋体" w:hAnsi="宋体" w:cs="宋体"/>
          <w:color w:val="auto"/>
          <w:kern w:val="0"/>
          <w:szCs w:val="21"/>
          <w:highlight w:val="none"/>
        </w:rPr>
        <w:t>（3）编制工程量清单及预算控制价；</w:t>
      </w:r>
      <w:r>
        <w:rPr>
          <w:rFonts w:ascii="宋体" w:hAnsi="宋体" w:cs="宋体"/>
          <w:color w:val="auto"/>
          <w:kern w:val="0"/>
          <w:szCs w:val="21"/>
          <w:highlight w:val="none"/>
        </w:rPr>
        <w:br w:type="textWrapping"/>
      </w:r>
      <w:r>
        <w:rPr>
          <w:rFonts w:ascii="宋体" w:hAnsi="宋体" w:cs="宋体"/>
          <w:color w:val="auto"/>
          <w:kern w:val="0"/>
          <w:szCs w:val="21"/>
          <w:highlight w:val="none"/>
        </w:rPr>
        <w:t>（4）协助</w:t>
      </w:r>
      <w:r>
        <w:rPr>
          <w:rFonts w:hint="eastAsia" w:ascii="宋体" w:hAnsi="宋体" w:cs="宋体"/>
          <w:color w:val="auto"/>
          <w:kern w:val="0"/>
          <w:szCs w:val="21"/>
          <w:highlight w:val="none"/>
          <w:lang w:eastAsia="zh-CN"/>
        </w:rPr>
        <w:t>采购人</w:t>
      </w:r>
      <w:r>
        <w:rPr>
          <w:rFonts w:ascii="宋体" w:hAnsi="宋体" w:cs="宋体"/>
          <w:color w:val="auto"/>
          <w:kern w:val="0"/>
          <w:szCs w:val="21"/>
          <w:highlight w:val="none"/>
        </w:rPr>
        <w:t>做好招标答疑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预算成果文件报送财审中心的答疑</w:t>
      </w:r>
      <w:r>
        <w:rPr>
          <w:rFonts w:ascii="宋体" w:hAnsi="宋体" w:cs="宋体"/>
          <w:color w:val="auto"/>
          <w:kern w:val="0"/>
          <w:szCs w:val="21"/>
          <w:highlight w:val="none"/>
        </w:rPr>
        <w:t>和核对工作；</w:t>
      </w:r>
      <w:r>
        <w:rPr>
          <w:rFonts w:ascii="宋体" w:hAnsi="宋体" w:cs="宋体"/>
          <w:color w:val="auto"/>
          <w:kern w:val="0"/>
          <w:szCs w:val="21"/>
          <w:highlight w:val="none"/>
        </w:rPr>
        <w:br w:type="textWrapping"/>
      </w:r>
      <w:r>
        <w:rPr>
          <w:rFonts w:ascii="宋体" w:hAnsi="宋体" w:cs="宋体"/>
          <w:color w:val="auto"/>
          <w:kern w:val="0"/>
          <w:szCs w:val="21"/>
          <w:highlight w:val="none"/>
        </w:rPr>
        <w:t>（5）按工程量清单计价定额和当期、当地市场信息价及有关政策规定计算施工技术措施费、组织措施费、综合费、规费、税金、完成招标控制价文件</w:t>
      </w:r>
      <w:r>
        <w:rPr>
          <w:rFonts w:hint="eastAsia" w:ascii="宋体" w:hAnsi="宋体" w:cs="宋体"/>
          <w:color w:val="auto"/>
          <w:kern w:val="0"/>
          <w:szCs w:val="21"/>
          <w:highlight w:val="none"/>
        </w:rPr>
        <w:t>；</w:t>
      </w:r>
    </w:p>
    <w:p>
      <w:pPr>
        <w:snapToGrid w:val="0"/>
        <w:spacing w:line="360" w:lineRule="auto"/>
        <w:jc w:val="left"/>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6</w:t>
      </w:r>
      <w:r>
        <w:rPr>
          <w:rFonts w:ascii="宋体" w:hAnsi="宋体" w:cs="宋体"/>
          <w:color w:val="auto"/>
          <w:kern w:val="0"/>
          <w:szCs w:val="21"/>
          <w:highlight w:val="none"/>
        </w:rPr>
        <w:t>）对中标后工程量清单报价进行分析，</w:t>
      </w:r>
      <w:r>
        <w:rPr>
          <w:rFonts w:hint="eastAsia" w:ascii="宋体" w:hAnsi="宋体" w:cs="宋体"/>
          <w:color w:val="auto"/>
          <w:kern w:val="0"/>
          <w:szCs w:val="21"/>
          <w:highlight w:val="none"/>
        </w:rPr>
        <w:t>判断是否存在严重不平衡报价</w:t>
      </w:r>
      <w:r>
        <w:rPr>
          <w:rFonts w:ascii="宋体" w:hAnsi="宋体" w:cs="宋体"/>
          <w:color w:val="auto"/>
          <w:kern w:val="0"/>
          <w:szCs w:val="21"/>
          <w:highlight w:val="none"/>
        </w:rPr>
        <w:t>，形成造价控制的风险报告分析。</w:t>
      </w:r>
    </w:p>
    <w:p>
      <w:pPr>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（7）根据实际情况，应甲方要求</w:t>
      </w:r>
      <w:r>
        <w:rPr>
          <w:rFonts w:hint="eastAsia" w:ascii="宋体" w:hAnsi="宋体"/>
          <w:color w:val="auto"/>
          <w:szCs w:val="21"/>
          <w:highlight w:val="none"/>
        </w:rPr>
        <w:t>编制模拟清单成果文件。</w:t>
      </w:r>
    </w:p>
    <w:p>
      <w:pPr>
        <w:pStyle w:val="3"/>
        <w:keepNext/>
        <w:widowControl/>
        <w:numPr>
          <w:ilvl w:val="1"/>
          <w:numId w:val="1"/>
        </w:numPr>
        <w:tabs>
          <w:tab w:val="left" w:pos="1135"/>
          <w:tab w:val="clear" w:pos="851"/>
        </w:tabs>
        <w:autoSpaceDE/>
        <w:autoSpaceDN/>
        <w:adjustRightInd/>
        <w:spacing w:before="0" w:line="360" w:lineRule="auto"/>
        <w:ind w:left="1418"/>
        <w:rPr>
          <w:rFonts w:ascii="宋体" w:hAnsi="宋体" w:eastAsia="宋体"/>
          <w:color w:val="auto"/>
          <w:sz w:val="21"/>
          <w:szCs w:val="21"/>
          <w:highlight w:val="none"/>
        </w:rPr>
      </w:pPr>
      <w:bookmarkStart w:id="1" w:name="_Toc153163637"/>
      <w:r>
        <w:rPr>
          <w:rFonts w:hint="eastAsia" w:ascii="宋体" w:hAnsi="宋体" w:eastAsia="宋体"/>
          <w:color w:val="auto"/>
          <w:sz w:val="21"/>
          <w:szCs w:val="21"/>
          <w:highlight w:val="none"/>
        </w:rPr>
        <w:t>工作内容</w:t>
      </w:r>
      <w:bookmarkEnd w:id="1"/>
    </w:p>
    <w:p>
      <w:pPr>
        <w:numPr>
          <w:ilvl w:val="0"/>
          <w:numId w:val="3"/>
        </w:numPr>
        <w:spacing w:line="360" w:lineRule="auto"/>
        <w:rPr>
          <w:rFonts w:ascii="宋体" w:hAnsi="宋体"/>
          <w:color w:val="auto"/>
          <w:szCs w:val="21"/>
          <w:highlight w:val="none"/>
        </w:rPr>
      </w:pPr>
      <w:r>
        <w:rPr>
          <w:rFonts w:hint="eastAsia" w:ascii="宋体" w:hAnsi="宋体"/>
          <w:color w:val="auto"/>
          <w:szCs w:val="21"/>
          <w:highlight w:val="none"/>
        </w:rPr>
        <w:t>乙方应根据服务的内容及按照甲方业务委托单的要求完成造价咨询服务工作。</w:t>
      </w:r>
    </w:p>
    <w:p>
      <w:pPr>
        <w:numPr>
          <w:ilvl w:val="0"/>
          <w:numId w:val="3"/>
        </w:numPr>
        <w:spacing w:line="360" w:lineRule="auto"/>
        <w:rPr>
          <w:rFonts w:ascii="宋体" w:hAnsi="宋体"/>
          <w:color w:val="auto"/>
          <w:szCs w:val="21"/>
          <w:highlight w:val="none"/>
        </w:rPr>
      </w:pPr>
      <w:r>
        <w:rPr>
          <w:rFonts w:hint="eastAsia" w:ascii="宋体" w:hAnsi="宋体"/>
          <w:color w:val="auto"/>
          <w:szCs w:val="21"/>
          <w:highlight w:val="none"/>
        </w:rPr>
        <w:t>乙方完成“服务内容”后应提交包括但不限于如下的文件：</w:t>
      </w:r>
    </w:p>
    <w:p>
      <w:pPr>
        <w:spacing w:line="360" w:lineRule="auto"/>
        <w:rPr>
          <w:rFonts w:ascii="宋体" w:hAnsi="宋体"/>
          <w:color w:val="auto"/>
          <w:szCs w:val="21"/>
          <w:highlight w:val="none"/>
        </w:rPr>
      </w:pPr>
      <w:r>
        <w:rPr>
          <w:rFonts w:hint="eastAsia" w:ascii="宋体" w:hAnsi="宋体"/>
          <w:color w:val="auto"/>
          <w:szCs w:val="21"/>
          <w:highlight w:val="none"/>
        </w:rPr>
        <w:t>2.2.1对应于1.5条所述工作内容的成果文件及报告；</w:t>
      </w:r>
    </w:p>
    <w:p>
      <w:pPr>
        <w:spacing w:line="360" w:lineRule="auto"/>
        <w:rPr>
          <w:rFonts w:ascii="宋体" w:hAnsi="宋体"/>
          <w:color w:val="auto"/>
          <w:szCs w:val="21"/>
          <w:highlight w:val="none"/>
        </w:rPr>
      </w:pPr>
      <w:r>
        <w:rPr>
          <w:rFonts w:hint="eastAsia" w:ascii="宋体" w:hAnsi="宋体"/>
          <w:color w:val="auto"/>
          <w:szCs w:val="21"/>
          <w:highlight w:val="none"/>
        </w:rPr>
        <w:t>2.2.2完整的工程量计算底稿（包括广联达算量和博奥套价的电子文件）；</w:t>
      </w:r>
    </w:p>
    <w:p>
      <w:pPr>
        <w:spacing w:line="360" w:lineRule="auto"/>
        <w:rPr>
          <w:rFonts w:ascii="宋体" w:hAnsi="宋体"/>
          <w:color w:val="auto"/>
          <w:szCs w:val="21"/>
          <w:highlight w:val="none"/>
        </w:rPr>
      </w:pPr>
      <w:r>
        <w:rPr>
          <w:rFonts w:hint="eastAsia" w:ascii="宋体" w:hAnsi="宋体"/>
          <w:color w:val="auto"/>
          <w:szCs w:val="21"/>
          <w:highlight w:val="none"/>
        </w:rPr>
        <w:t>2.2.3上述文件的电子版本或文本文件(Microsoft Office 文件格式、软件格式)。</w:t>
      </w:r>
    </w:p>
    <w:p>
      <w:pPr>
        <w:spacing w:line="360" w:lineRule="auto"/>
        <w:rPr>
          <w:rFonts w:ascii="宋体" w:hAnsi="宋体"/>
          <w:color w:val="auto"/>
          <w:szCs w:val="21"/>
          <w:highlight w:val="none"/>
        </w:rPr>
      </w:pPr>
      <w:r>
        <w:rPr>
          <w:rFonts w:hint="eastAsia" w:ascii="宋体" w:hAnsi="宋体"/>
          <w:color w:val="auto"/>
          <w:szCs w:val="21"/>
          <w:highlight w:val="none"/>
        </w:rPr>
        <w:t>2.3乙方提交的工作成果需满足甲方的要求，封面须加盖公司印章和注册造价工程师执业专用章。</w:t>
      </w:r>
    </w:p>
    <w:p>
      <w:pPr>
        <w:pStyle w:val="3"/>
        <w:keepNext/>
        <w:widowControl/>
        <w:numPr>
          <w:ilvl w:val="1"/>
          <w:numId w:val="1"/>
        </w:numPr>
        <w:tabs>
          <w:tab w:val="left" w:pos="1135"/>
          <w:tab w:val="clear" w:pos="851"/>
        </w:tabs>
        <w:autoSpaceDE/>
        <w:autoSpaceDN/>
        <w:adjustRightInd/>
        <w:spacing w:before="0" w:line="360" w:lineRule="auto"/>
        <w:ind w:left="1418"/>
        <w:rPr>
          <w:rFonts w:ascii="宋体" w:hAnsi="宋体" w:eastAsia="宋体"/>
          <w:color w:val="auto"/>
          <w:sz w:val="21"/>
          <w:szCs w:val="21"/>
          <w:highlight w:val="none"/>
        </w:rPr>
      </w:pPr>
      <w:bookmarkStart w:id="2" w:name="_Toc153163638"/>
      <w:r>
        <w:rPr>
          <w:rFonts w:hint="eastAsia" w:ascii="宋体" w:hAnsi="宋体" w:eastAsia="宋体"/>
          <w:color w:val="auto"/>
          <w:sz w:val="21"/>
          <w:szCs w:val="21"/>
          <w:highlight w:val="none"/>
        </w:rPr>
        <w:t>原则和依据</w:t>
      </w:r>
      <w:bookmarkEnd w:id="2"/>
    </w:p>
    <w:p>
      <w:pPr>
        <w:numPr>
          <w:ilvl w:val="1"/>
          <w:numId w:val="3"/>
        </w:numPr>
        <w:spacing w:line="360" w:lineRule="auto"/>
        <w:rPr>
          <w:rFonts w:ascii="宋体" w:hAnsi="宋体"/>
          <w:color w:val="auto"/>
          <w:szCs w:val="21"/>
          <w:highlight w:val="none"/>
        </w:rPr>
      </w:pPr>
      <w:r>
        <w:rPr>
          <w:rFonts w:hint="eastAsia" w:ascii="宋体" w:hAnsi="宋体"/>
          <w:color w:val="auto"/>
          <w:szCs w:val="21"/>
          <w:highlight w:val="none"/>
        </w:rPr>
        <w:t>设计及工程资料：以甲方提供的资料为准。</w:t>
      </w:r>
    </w:p>
    <w:p>
      <w:pPr>
        <w:numPr>
          <w:ilvl w:val="1"/>
          <w:numId w:val="3"/>
        </w:numPr>
        <w:spacing w:line="360" w:lineRule="auto"/>
        <w:rPr>
          <w:rFonts w:ascii="宋体" w:hAnsi="宋体"/>
          <w:color w:val="auto"/>
          <w:szCs w:val="21"/>
          <w:highlight w:val="none"/>
        </w:rPr>
      </w:pPr>
      <w:r>
        <w:rPr>
          <w:rFonts w:hint="eastAsia" w:ascii="宋体" w:hAnsi="宋体"/>
          <w:color w:val="auto"/>
          <w:szCs w:val="21"/>
          <w:highlight w:val="none"/>
        </w:rPr>
        <w:t>计价依据：按甲方提供的合同及相关资料为准。</w:t>
      </w:r>
    </w:p>
    <w:p>
      <w:pPr>
        <w:numPr>
          <w:ilvl w:val="1"/>
          <w:numId w:val="3"/>
        </w:numPr>
        <w:spacing w:line="360" w:lineRule="auto"/>
        <w:rPr>
          <w:rFonts w:ascii="宋体" w:hAnsi="宋体"/>
          <w:color w:val="auto"/>
          <w:szCs w:val="21"/>
          <w:highlight w:val="none"/>
        </w:rPr>
      </w:pPr>
      <w:r>
        <w:rPr>
          <w:rFonts w:hint="eastAsia" w:ascii="宋体" w:hAnsi="宋体"/>
          <w:color w:val="auto"/>
          <w:szCs w:val="21"/>
          <w:highlight w:val="none"/>
        </w:rPr>
        <w:t>材料信息价格：按甲方提供的合同为准。</w:t>
      </w:r>
    </w:p>
    <w:p>
      <w:pPr>
        <w:numPr>
          <w:ilvl w:val="1"/>
          <w:numId w:val="3"/>
        </w:numPr>
        <w:spacing w:line="360" w:lineRule="auto"/>
        <w:rPr>
          <w:rFonts w:ascii="宋体" w:hAnsi="宋体"/>
          <w:color w:val="auto"/>
          <w:szCs w:val="21"/>
          <w:highlight w:val="none"/>
        </w:rPr>
      </w:pPr>
      <w:r>
        <w:rPr>
          <w:rFonts w:hint="eastAsia" w:ascii="宋体" w:hAnsi="宋体"/>
          <w:color w:val="auto"/>
          <w:szCs w:val="21"/>
          <w:highlight w:val="none"/>
        </w:rPr>
        <w:t>其他：以编制要求为准。</w:t>
      </w:r>
    </w:p>
    <w:p>
      <w:pPr>
        <w:pStyle w:val="3"/>
        <w:keepNext/>
        <w:widowControl/>
        <w:numPr>
          <w:ilvl w:val="1"/>
          <w:numId w:val="1"/>
        </w:numPr>
        <w:tabs>
          <w:tab w:val="left" w:pos="1135"/>
          <w:tab w:val="clear" w:pos="851"/>
        </w:tabs>
        <w:autoSpaceDE/>
        <w:autoSpaceDN/>
        <w:adjustRightInd/>
        <w:spacing w:before="0" w:line="360" w:lineRule="auto"/>
        <w:ind w:left="1418"/>
        <w:rPr>
          <w:rFonts w:ascii="宋体" w:hAnsi="宋体" w:eastAsia="宋体"/>
          <w:color w:val="auto"/>
          <w:sz w:val="21"/>
          <w:szCs w:val="21"/>
          <w:highlight w:val="none"/>
        </w:rPr>
      </w:pPr>
      <w:bookmarkStart w:id="3" w:name="_Toc153163639"/>
      <w:r>
        <w:rPr>
          <w:rFonts w:hint="eastAsia" w:ascii="宋体" w:hAnsi="宋体" w:eastAsia="宋体"/>
          <w:color w:val="auto"/>
          <w:sz w:val="21"/>
          <w:szCs w:val="21"/>
          <w:highlight w:val="none"/>
        </w:rPr>
        <w:t>时间要求</w:t>
      </w:r>
      <w:bookmarkEnd w:id="3"/>
    </w:p>
    <w:p>
      <w:pPr>
        <w:numPr>
          <w:ilvl w:val="0"/>
          <w:numId w:val="4"/>
        </w:numPr>
        <w:spacing w:line="360" w:lineRule="auto"/>
        <w:rPr>
          <w:rFonts w:ascii="宋体" w:hAnsi="宋体"/>
          <w:color w:val="auto"/>
          <w:szCs w:val="21"/>
          <w:highlight w:val="none"/>
        </w:rPr>
      </w:pPr>
      <w:r>
        <w:rPr>
          <w:rFonts w:hint="eastAsia" w:ascii="宋体" w:hAnsi="宋体"/>
          <w:color w:val="auto"/>
          <w:szCs w:val="21"/>
          <w:highlight w:val="none"/>
        </w:rPr>
        <w:t>由于图纸等资料是分批次提供，因此，工程量清单及控制价编制工作在接到甲方提供的每批次资料后30天内编制完成并将相应批次工作成果提交甲方。</w:t>
      </w:r>
    </w:p>
    <w:p>
      <w:pPr>
        <w:numPr>
          <w:ilvl w:val="0"/>
          <w:numId w:val="4"/>
        </w:numPr>
        <w:spacing w:line="360" w:lineRule="auto"/>
        <w:rPr>
          <w:rFonts w:ascii="宋体" w:hAnsi="宋体"/>
          <w:color w:val="auto"/>
          <w:szCs w:val="21"/>
          <w:highlight w:val="none"/>
        </w:rPr>
      </w:pPr>
      <w:r>
        <w:rPr>
          <w:rFonts w:hint="eastAsia" w:ascii="宋体" w:hAnsi="宋体"/>
          <w:color w:val="auto"/>
          <w:szCs w:val="21"/>
          <w:highlight w:val="none"/>
        </w:rPr>
        <w:t>如因图纸不能及时提供，需出具模拟清单成果的，乙方在接到完整的技术资料后</w:t>
      </w:r>
      <w:r>
        <w:rPr>
          <w:rFonts w:hint="eastAsia" w:ascii="宋体" w:hAnsi="宋体"/>
          <w:color w:val="auto"/>
          <w:szCs w:val="21"/>
          <w:highlight w:val="none"/>
          <w:lang w:val="en-US" w:eastAsia="zh-CN"/>
        </w:rPr>
        <w:t>20</w:t>
      </w:r>
      <w:r>
        <w:rPr>
          <w:rFonts w:hint="eastAsia" w:ascii="宋体" w:hAnsi="宋体"/>
          <w:color w:val="auto"/>
          <w:szCs w:val="21"/>
          <w:highlight w:val="none"/>
        </w:rPr>
        <w:t>天内编制完成并将相应批次工作成果提交甲方。</w:t>
      </w:r>
    </w:p>
    <w:p>
      <w:pPr>
        <w:pStyle w:val="3"/>
        <w:keepNext/>
        <w:widowControl/>
        <w:numPr>
          <w:ilvl w:val="1"/>
          <w:numId w:val="1"/>
        </w:numPr>
        <w:tabs>
          <w:tab w:val="left" w:pos="1135"/>
          <w:tab w:val="clear" w:pos="851"/>
        </w:tabs>
        <w:autoSpaceDE/>
        <w:autoSpaceDN/>
        <w:adjustRightInd/>
        <w:spacing w:before="0" w:line="360" w:lineRule="auto"/>
        <w:ind w:left="1418"/>
        <w:rPr>
          <w:rFonts w:ascii="宋体" w:hAnsi="宋体" w:eastAsia="宋体"/>
          <w:color w:val="auto"/>
          <w:sz w:val="21"/>
          <w:szCs w:val="21"/>
          <w:highlight w:val="none"/>
        </w:rPr>
      </w:pPr>
      <w:bookmarkStart w:id="4" w:name="_Toc153163640"/>
      <w:r>
        <w:rPr>
          <w:rFonts w:hint="eastAsia" w:ascii="宋体" w:hAnsi="宋体" w:eastAsia="宋体"/>
          <w:color w:val="auto"/>
          <w:sz w:val="21"/>
          <w:szCs w:val="21"/>
          <w:highlight w:val="none"/>
        </w:rPr>
        <w:t>质量要求</w:t>
      </w:r>
      <w:bookmarkEnd w:id="4"/>
    </w:p>
    <w:p>
      <w:pPr>
        <w:numPr>
          <w:ilvl w:val="0"/>
          <w:numId w:val="5"/>
        </w:numPr>
        <w:spacing w:line="360" w:lineRule="auto"/>
        <w:rPr>
          <w:rFonts w:ascii="宋体" w:hAnsi="宋体"/>
          <w:color w:val="auto"/>
          <w:szCs w:val="21"/>
          <w:highlight w:val="none"/>
        </w:rPr>
      </w:pPr>
      <w:r>
        <w:rPr>
          <w:rFonts w:hint="eastAsia" w:ascii="宋体" w:hAnsi="宋体"/>
          <w:color w:val="auto"/>
          <w:szCs w:val="21"/>
          <w:highlight w:val="none"/>
        </w:rPr>
        <w:t>乙方编制或审核的工程量清单应全面反映施工图包含的内容，工程量计算准确。单项工程量平均误差率≤</w:t>
      </w:r>
      <w:r>
        <w:rPr>
          <w:rFonts w:hint="eastAsia" w:ascii="宋体" w:hAnsi="宋体"/>
          <w:b/>
          <w:bCs/>
          <w:color w:val="auto"/>
          <w:szCs w:val="21"/>
          <w:highlight w:val="none"/>
        </w:rPr>
        <w:t>3</w:t>
      </w:r>
      <w:r>
        <w:rPr>
          <w:rFonts w:hint="eastAsia" w:ascii="宋体" w:hAnsi="宋体"/>
          <w:color w:val="auto"/>
          <w:szCs w:val="21"/>
          <w:highlight w:val="none"/>
        </w:rPr>
        <w:t>%(统计各项工程量误差率的平均值，模拟清单工程量除外)。以上数据的统计以甲方抽查确认的工程量清单为依据。</w:t>
      </w:r>
    </w:p>
    <w:p>
      <w:pPr>
        <w:numPr>
          <w:ilvl w:val="0"/>
          <w:numId w:val="5"/>
        </w:numPr>
        <w:spacing w:line="360" w:lineRule="auto"/>
        <w:rPr>
          <w:rFonts w:ascii="宋体" w:hAnsi="宋体"/>
          <w:color w:val="auto"/>
          <w:szCs w:val="21"/>
          <w:highlight w:val="none"/>
        </w:rPr>
      </w:pPr>
      <w:r>
        <w:rPr>
          <w:rFonts w:hint="eastAsia" w:ascii="宋体" w:hAnsi="宋体"/>
          <w:color w:val="auto"/>
          <w:szCs w:val="21"/>
          <w:highlight w:val="none"/>
        </w:rPr>
        <w:t>乙方所提交的工作成果必须达到甲方的要求，文字清晰整齐，计算底稿必须条理清楚、步骤清晰，有较强的可复查性。</w:t>
      </w:r>
    </w:p>
    <w:p>
      <w:pPr>
        <w:numPr>
          <w:ilvl w:val="0"/>
          <w:numId w:val="5"/>
        </w:numPr>
        <w:spacing w:line="360" w:lineRule="auto"/>
        <w:rPr>
          <w:rFonts w:ascii="宋体" w:hAnsi="宋体"/>
          <w:color w:val="auto"/>
          <w:szCs w:val="21"/>
          <w:highlight w:val="none"/>
        </w:rPr>
      </w:pPr>
      <w:r>
        <w:rPr>
          <w:rFonts w:hint="eastAsia" w:ascii="宋体" w:hAnsi="宋体"/>
          <w:color w:val="auto"/>
          <w:szCs w:val="21"/>
          <w:highlight w:val="none"/>
        </w:rPr>
        <w:t>乙方未按合同条款执行，或工作成果质量等达不到合同约定的标准，乙方须及时进行整改、修正。</w:t>
      </w:r>
    </w:p>
    <w:p>
      <w:pPr>
        <w:pStyle w:val="3"/>
        <w:keepNext/>
        <w:widowControl/>
        <w:numPr>
          <w:ilvl w:val="1"/>
          <w:numId w:val="1"/>
        </w:numPr>
        <w:tabs>
          <w:tab w:val="left" w:pos="1135"/>
          <w:tab w:val="clear" w:pos="851"/>
        </w:tabs>
        <w:autoSpaceDE/>
        <w:autoSpaceDN/>
        <w:adjustRightInd/>
        <w:spacing w:before="0" w:line="360" w:lineRule="auto"/>
        <w:ind w:left="1418"/>
        <w:rPr>
          <w:rFonts w:ascii="宋体" w:hAnsi="宋体" w:eastAsia="宋体"/>
          <w:color w:val="auto"/>
          <w:sz w:val="21"/>
          <w:szCs w:val="21"/>
          <w:highlight w:val="none"/>
        </w:rPr>
      </w:pPr>
      <w:bookmarkStart w:id="5" w:name="_Toc153163641"/>
      <w:r>
        <w:rPr>
          <w:rFonts w:hint="eastAsia" w:ascii="宋体" w:hAnsi="宋体" w:eastAsia="宋体"/>
          <w:color w:val="auto"/>
          <w:sz w:val="21"/>
          <w:szCs w:val="21"/>
          <w:highlight w:val="none"/>
        </w:rPr>
        <w:t>费用计取及支付方式</w:t>
      </w:r>
      <w:bookmarkEnd w:id="5"/>
    </w:p>
    <w:p>
      <w:pPr>
        <w:numPr>
          <w:ilvl w:val="0"/>
          <w:numId w:val="6"/>
        </w:numPr>
        <w:spacing w:line="360" w:lineRule="auto"/>
        <w:rPr>
          <w:rFonts w:ascii="宋体" w:hAnsi="宋体"/>
          <w:bCs/>
          <w:color w:val="auto"/>
          <w:szCs w:val="21"/>
          <w:highlight w:val="none"/>
        </w:rPr>
      </w:pPr>
      <w:r>
        <w:rPr>
          <w:rFonts w:hint="eastAsia" w:ascii="宋体" w:hAnsi="宋体"/>
          <w:bCs/>
          <w:color w:val="auto"/>
          <w:szCs w:val="21"/>
          <w:highlight w:val="none"/>
        </w:rPr>
        <w:t>造价咨询费用计取：</w:t>
      </w:r>
    </w:p>
    <w:p>
      <w:pPr>
        <w:spacing w:line="360" w:lineRule="auto"/>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工程量清单及预算控制价编制</w:t>
      </w:r>
      <w:r>
        <w:rPr>
          <w:rFonts w:hint="eastAsia" w:ascii="宋体" w:hAnsi="宋体"/>
          <w:bCs/>
          <w:color w:val="auto"/>
          <w:szCs w:val="21"/>
          <w:highlight w:val="none"/>
          <w:lang w:eastAsia="zh-CN"/>
        </w:rPr>
        <w:t>中标下浮系数</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lang w:val="en-US" w:eastAsia="zh-CN"/>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合同总价暂定（含增值税）人民币（大写</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w:t>
      </w: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(小写</w:t>
      </w:r>
      <w:r>
        <w:rPr>
          <w:rFonts w:hint="eastAsia" w:ascii="宋体" w:hAnsi="宋体" w:cs="宋体"/>
          <w:color w:val="auto"/>
          <w:szCs w:val="21"/>
        </w:rPr>
        <w:t>¥</w:t>
      </w:r>
      <w:r>
        <w:rPr>
          <w:rFonts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rPr>
        <w:t>元，</w:t>
      </w:r>
      <w:r>
        <w:rPr>
          <w:rFonts w:hint="eastAsia" w:ascii="宋体" w:hAnsi="宋体" w:cs="宋体"/>
          <w:color w:val="auto"/>
          <w:szCs w:val="21"/>
          <w:lang w:val="zh-CN"/>
        </w:rPr>
        <w:t>最终以编制预算控制价造价金额为准。</w:t>
      </w:r>
    </w:p>
    <w:p>
      <w:pPr>
        <w:snapToGrid w:val="0"/>
        <w:spacing w:line="360" w:lineRule="auto"/>
        <w:ind w:left="479" w:leftChars="228"/>
        <w:rPr>
          <w:rFonts w:ascii="宋体" w:hAnsi="宋体"/>
          <w:color w:val="auto"/>
          <w:szCs w:val="21"/>
          <w:highlight w:val="none"/>
        </w:rPr>
      </w:pPr>
      <w:r>
        <w:rPr>
          <w:rFonts w:hint="eastAsia" w:ascii="宋体" w:hAnsi="宋体"/>
          <w:color w:val="auto"/>
          <w:szCs w:val="21"/>
          <w:highlight w:val="none"/>
        </w:rPr>
        <w:t>本合同造价咨询服务费用按以下标准按实计算：</w:t>
      </w:r>
    </w:p>
    <w:p>
      <w:pPr>
        <w:snapToGrid w:val="0"/>
        <w:spacing w:line="360" w:lineRule="auto"/>
        <w:rPr>
          <w:rFonts w:ascii="宋体" w:hAnsi="宋体"/>
          <w:color w:val="auto"/>
          <w:szCs w:val="21"/>
          <w:highlight w:val="none"/>
        </w:rPr>
      </w:pPr>
      <w:r>
        <w:rPr>
          <w:rFonts w:hint="eastAsia" w:ascii="宋体" w:hAnsi="宋体"/>
          <w:color w:val="auto"/>
          <w:szCs w:val="21"/>
          <w:highlight w:val="none"/>
        </w:rPr>
        <w:t>6.1.1工程量清单及控制价编制费用（不含精装修）按工程总造价的计取，工程总造价按元暂估；</w:t>
      </w:r>
    </w:p>
    <w:p>
      <w:pPr>
        <w:snapToGrid w:val="0"/>
        <w:spacing w:line="360" w:lineRule="auto"/>
        <w:ind w:left="525" w:hanging="525" w:hangingChars="250"/>
        <w:rPr>
          <w:rFonts w:ascii="宋体" w:hAnsi="宋体"/>
          <w:color w:val="auto"/>
          <w:szCs w:val="21"/>
          <w:highlight w:val="none"/>
        </w:rPr>
      </w:pPr>
      <w:r>
        <w:rPr>
          <w:rFonts w:hint="eastAsia" w:ascii="宋体" w:hAnsi="宋体"/>
          <w:color w:val="auto"/>
          <w:szCs w:val="21"/>
          <w:highlight w:val="none"/>
        </w:rPr>
        <w:t>6.1.2如非乙方原因实际造成工作量增加及工期拖延的，因此增加的咨询服务费按以下方式进行补偿：</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（1）计价方式改变。甲方改变计价方式，按以下方式进行补偿：</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a.乙方已完成预（结）算工作的，按合同约定的酬金计算方法×30%补偿；</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b.乙方已开始预（结）算工作但尚未完成的，按合同约定的酬金计算方法×15%补偿。</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（2）图纸改变。甲方改变或修改图纸，按以下方式进行补偿</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a.甲方全部更换图纸，如乙方已用原图完成计算工作后变更的，将已计算部分的工程造价按合同约定的计算方式进行补偿；</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b.甲方将图纸进行局部修改，如乙方已用原图完成计算工作后变更的，按图纸修改的所占的比例，将已计算部分的工程造价按合同约定的计算方式×修改所占比例%进行补偿；</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（3）计算范围改变。甲方将乙方已完成的咨询工作全部或部分不计入提交的成果文件范围，应将已完成但不计入成果部分的造价按合同约定的酬金计算方法补偿。</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（4）其他：实际发生时由双方另行商定。</w:t>
      </w:r>
    </w:p>
    <w:p>
      <w:pPr>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咨询服务费支付方式</w:t>
      </w:r>
    </w:p>
    <w:p>
      <w:pPr>
        <w:snapToGrid w:val="0"/>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 xml:space="preserve">6.2.1  </w:t>
      </w:r>
      <w:r>
        <w:rPr>
          <w:rFonts w:hint="eastAsia" w:ascii="宋体" w:hAnsi="宋体"/>
          <w:color w:val="auto"/>
          <w:szCs w:val="21"/>
          <w:highlight w:val="none"/>
          <w:lang w:eastAsia="zh-CN"/>
        </w:rPr>
        <w:t>造价编制服务费在</w:t>
      </w:r>
      <w:r>
        <w:rPr>
          <w:rFonts w:hint="eastAsia" w:ascii="宋体" w:hAnsi="宋体"/>
          <w:color w:val="auto"/>
          <w:szCs w:val="21"/>
          <w:highlight w:val="none"/>
        </w:rPr>
        <w:t>工程造价咨询成果文件</w:t>
      </w:r>
      <w:r>
        <w:rPr>
          <w:rFonts w:hint="eastAsia" w:ascii="宋体" w:hAnsi="宋体"/>
          <w:color w:val="auto"/>
          <w:szCs w:val="21"/>
          <w:highlight w:val="none"/>
          <w:lang w:eastAsia="zh-CN"/>
        </w:rPr>
        <w:t>盖章交付后</w:t>
      </w:r>
      <w:r>
        <w:rPr>
          <w:rFonts w:hint="eastAsia" w:ascii="宋体" w:hAnsi="宋体"/>
          <w:color w:val="auto"/>
          <w:szCs w:val="21"/>
          <w:highlight w:val="none"/>
          <w:lang w:val="en-US" w:eastAsia="zh-CN"/>
        </w:rPr>
        <w:t>15个工作日</w:t>
      </w:r>
      <w:r>
        <w:rPr>
          <w:rFonts w:hint="eastAsia" w:ascii="宋体" w:hAnsi="宋体"/>
          <w:color w:val="auto"/>
          <w:szCs w:val="21"/>
          <w:highlight w:val="none"/>
          <w:lang w:eastAsia="zh-CN"/>
        </w:rPr>
        <w:t>一次性支付。</w:t>
      </w:r>
    </w:p>
    <w:p>
      <w:pPr>
        <w:autoSpaceDE w:val="0"/>
        <w:autoSpaceDN w:val="0"/>
        <w:adjustRightInd w:val="0"/>
        <w:spacing w:line="520" w:lineRule="exact"/>
        <w:rPr>
          <w:rFonts w:hint="eastAsia" w:ascii="宋体" w:hAnsi="宋体" w:cs="华文楷体v.儁."/>
          <w:color w:val="auto"/>
          <w:szCs w:val="21"/>
          <w:highlight w:val="none"/>
        </w:rPr>
      </w:pPr>
      <w:r>
        <w:rPr>
          <w:rFonts w:hint="eastAsia" w:ascii="宋体" w:hAnsi="宋体"/>
          <w:bCs/>
          <w:color w:val="auto"/>
          <w:szCs w:val="21"/>
          <w:highlight w:val="none"/>
        </w:rPr>
        <w:t xml:space="preserve">6.2.2  </w:t>
      </w:r>
      <w:r>
        <w:rPr>
          <w:rFonts w:hint="eastAsia" w:ascii="宋体" w:hAnsi="宋体" w:cs="华文楷体v.儁."/>
          <w:color w:val="auto"/>
          <w:szCs w:val="21"/>
          <w:highlight w:val="none"/>
        </w:rPr>
        <w:t>乙方应提供根据全部合同价款和价外费用按6%的增值税税率向甲方开具合法有效的增值税专用发票。上述的增值税专用发票必须符合中国《增值税专用发票使用规定》等相关法律法规的相关要求。</w:t>
      </w:r>
    </w:p>
    <w:p>
      <w:pPr>
        <w:autoSpaceDE w:val="0"/>
        <w:autoSpaceDN w:val="0"/>
        <w:adjustRightInd w:val="0"/>
        <w:spacing w:line="520" w:lineRule="exact"/>
        <w:ind w:left="735" w:hanging="735" w:hangingChars="350"/>
        <w:jc w:val="left"/>
        <w:rPr>
          <w:rFonts w:hint="eastAsia" w:ascii="宋体" w:hAnsi="宋体" w:cs="华文楷体v.儁."/>
          <w:color w:val="auto"/>
          <w:szCs w:val="21"/>
          <w:highlight w:val="none"/>
          <w:lang w:val="zh-CN"/>
        </w:rPr>
      </w:pPr>
      <w:r>
        <w:rPr>
          <w:rFonts w:hint="eastAsia" w:ascii="宋体" w:hAnsi="宋体" w:cs="华文楷体v.儁."/>
          <w:color w:val="auto"/>
          <w:szCs w:val="21"/>
          <w:highlight w:val="none"/>
          <w:lang w:val="en-US" w:eastAsia="zh-CN"/>
        </w:rPr>
        <w:t>6.2.3 本项目最终造价咨询结算服务费，以</w:t>
      </w:r>
      <w:r>
        <w:rPr>
          <w:rFonts w:hint="eastAsia" w:ascii="宋体" w:hAnsi="宋体"/>
          <w:color w:val="auto"/>
          <w:szCs w:val="21"/>
          <w:highlight w:val="none"/>
          <w:lang w:val="en-US" w:eastAsia="zh-CN"/>
        </w:rPr>
        <w:t>三方确认</w:t>
      </w:r>
      <w:r>
        <w:rPr>
          <w:rFonts w:hint="eastAsia" w:ascii="宋体" w:hAnsi="宋体" w:cs="华文楷体v.儁."/>
          <w:color w:val="auto"/>
          <w:szCs w:val="21"/>
          <w:highlight w:val="none"/>
          <w:lang w:val="en-US" w:eastAsia="zh-CN"/>
        </w:rPr>
        <w:t>最终预算成果文件的建安费</w:t>
      </w:r>
      <w:r>
        <w:rPr>
          <w:rFonts w:hint="eastAsia"/>
          <w:color w:val="auto"/>
          <w:highlight w:val="none"/>
          <w:lang w:val="en-US" w:eastAsia="zh-CN"/>
        </w:rPr>
        <w:t>参照桂价费（2019）15号文收取标准下浮20%，再乘以乙方的中标下浮系数计取。</w:t>
      </w:r>
    </w:p>
    <w:p>
      <w:pPr>
        <w:pStyle w:val="3"/>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第七条  合同工期</w:t>
      </w:r>
    </w:p>
    <w:p>
      <w:pPr>
        <w:spacing w:line="360" w:lineRule="auto"/>
        <w:rPr>
          <w:rFonts w:ascii="宋体" w:hAnsi="宋体"/>
          <w:color w:val="auto"/>
          <w:szCs w:val="21"/>
          <w:highlight w:val="none"/>
        </w:rPr>
      </w:pPr>
      <w:r>
        <w:rPr>
          <w:rFonts w:hint="eastAsia" w:ascii="宋体" w:hAnsi="宋体"/>
          <w:color w:val="auto"/>
          <w:szCs w:val="21"/>
          <w:highlight w:val="none"/>
        </w:rPr>
        <w:t>7.1 本合同工期从本合同签订之日起，至本合同约定的全部服务内容完成之日终结。</w:t>
      </w:r>
    </w:p>
    <w:p>
      <w:pPr>
        <w:pStyle w:val="3"/>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第八条  合同文件</w:t>
      </w:r>
    </w:p>
    <w:p>
      <w:pPr>
        <w:pStyle w:val="17"/>
        <w:numPr>
          <w:ilvl w:val="1"/>
          <w:numId w:val="7"/>
        </w:numPr>
        <w:tabs>
          <w:tab w:val="left" w:pos="540"/>
        </w:tabs>
        <w:spacing w:line="360" w:lineRule="auto"/>
        <w:ind w:firstLineChars="0"/>
        <w:rPr>
          <w:rFonts w:ascii="宋体" w:hAnsi="宋体"/>
          <w:bCs/>
          <w:color w:val="auto"/>
          <w:szCs w:val="21"/>
          <w:highlight w:val="none"/>
        </w:rPr>
      </w:pPr>
      <w:r>
        <w:rPr>
          <w:rFonts w:hint="eastAsia" w:ascii="宋体" w:hAnsi="宋体"/>
          <w:bCs/>
          <w:color w:val="auto"/>
          <w:szCs w:val="21"/>
          <w:highlight w:val="none"/>
        </w:rPr>
        <w:t xml:space="preserve"> 合同文件应能互相解释、互为说明，除本合同协议书另有规定外，其组成部分和解释顺序如下：</w:t>
      </w:r>
    </w:p>
    <w:p>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A:本合同</w:t>
      </w:r>
    </w:p>
    <w:p>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B:本合同通用条款（详见《建设工程造价咨询合同（示范文本）》GJ-2012-0212第二部分）</w:t>
      </w:r>
    </w:p>
    <w:p>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C:报价书及其附件</w:t>
      </w:r>
    </w:p>
    <w:p>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D:现行国家和广西/南宁市有关的法规和规定。</w:t>
      </w:r>
    </w:p>
    <w:p>
      <w:pPr>
        <w:spacing w:line="360" w:lineRule="auto"/>
        <w:ind w:firstLine="315" w:firstLineChars="150"/>
        <w:rPr>
          <w:rFonts w:ascii="宋体" w:hAnsi="宋体"/>
          <w:bCs/>
          <w:color w:val="auto"/>
          <w:szCs w:val="21"/>
          <w:highlight w:val="none"/>
        </w:rPr>
      </w:pPr>
      <w:r>
        <w:rPr>
          <w:rFonts w:hint="eastAsia" w:ascii="宋体" w:hAnsi="宋体"/>
          <w:color w:val="auto"/>
          <w:szCs w:val="21"/>
          <w:highlight w:val="none"/>
        </w:rPr>
        <w:t>上述文件应互为补充和解释，如有不清楚或互相矛盾之处，一切解释以上述所列顺序、日期较后的往来函件及最严格的要求为准。任何不列在上的其他文件皆不成为合同文件的一部分，其内容不能影响合同文件的含义。</w:t>
      </w:r>
    </w:p>
    <w:p>
      <w:pPr>
        <w:pStyle w:val="3"/>
        <w:spacing w:line="360" w:lineRule="auto"/>
        <w:rPr>
          <w:rFonts w:ascii="宋体" w:hAnsi="宋体" w:eastAsia="宋体"/>
          <w:color w:val="auto"/>
          <w:sz w:val="21"/>
          <w:szCs w:val="21"/>
          <w:highlight w:val="none"/>
        </w:rPr>
      </w:pPr>
      <w:bookmarkStart w:id="6" w:name="_Toc153163642"/>
      <w:r>
        <w:rPr>
          <w:rFonts w:hint="eastAsia" w:ascii="宋体" w:hAnsi="宋体" w:eastAsia="宋体"/>
          <w:color w:val="auto"/>
          <w:sz w:val="21"/>
          <w:szCs w:val="21"/>
          <w:highlight w:val="none"/>
        </w:rPr>
        <w:t>第九条 甲方责任</w:t>
      </w:r>
      <w:bookmarkEnd w:id="6"/>
    </w:p>
    <w:p>
      <w:pPr>
        <w:numPr>
          <w:ilvl w:val="1"/>
          <w:numId w:val="8"/>
        </w:numPr>
        <w:spacing w:line="360" w:lineRule="auto"/>
        <w:rPr>
          <w:rFonts w:ascii="宋体" w:hAnsi="宋体"/>
          <w:color w:val="FF0000"/>
          <w:szCs w:val="21"/>
          <w:highlight w:val="none"/>
        </w:rPr>
      </w:pPr>
      <w:r>
        <w:rPr>
          <w:rFonts w:hint="eastAsia" w:ascii="宋体" w:hAnsi="宋体"/>
          <w:color w:val="FF0000"/>
          <w:szCs w:val="21"/>
          <w:highlight w:val="none"/>
        </w:rPr>
        <w:t xml:space="preserve"> 甲方负责人代表为：</w:t>
      </w:r>
      <w:r>
        <w:rPr>
          <w:rFonts w:hint="eastAsia" w:ascii="宋体" w:hAnsi="宋体"/>
          <w:color w:val="FF0000"/>
          <w:szCs w:val="21"/>
          <w:highlight w:val="none"/>
          <w:lang w:val="en-US" w:eastAsia="zh-CN"/>
        </w:rPr>
        <w:t xml:space="preserve">         </w:t>
      </w:r>
      <w:r>
        <w:rPr>
          <w:rFonts w:hint="eastAsia" w:ascii="宋体" w:hAnsi="宋体"/>
          <w:color w:val="FF0000"/>
          <w:szCs w:val="21"/>
          <w:highlight w:val="none"/>
        </w:rPr>
        <w:t>( 联系方式：</w:t>
      </w:r>
      <w:r>
        <w:rPr>
          <w:rFonts w:hint="eastAsia" w:ascii="宋体" w:hAnsi="宋体"/>
          <w:color w:val="FF0000"/>
          <w:szCs w:val="21"/>
          <w:highlight w:val="none"/>
          <w:lang w:val="en-US" w:eastAsia="zh-CN"/>
        </w:rPr>
        <w:t xml:space="preserve">           </w:t>
      </w:r>
      <w:r>
        <w:rPr>
          <w:rFonts w:hint="eastAsia" w:ascii="宋体" w:hAnsi="宋体"/>
          <w:color w:val="FF0000"/>
          <w:szCs w:val="21"/>
          <w:highlight w:val="none"/>
        </w:rPr>
        <w:t>)。</w:t>
      </w:r>
    </w:p>
    <w:p>
      <w:pPr>
        <w:numPr>
          <w:ilvl w:val="1"/>
          <w:numId w:val="8"/>
        </w:numPr>
        <w:spacing w:line="360" w:lineRule="auto"/>
        <w:rPr>
          <w:rFonts w:ascii="宋体" w:hAnsi="宋体"/>
          <w:color w:val="auto"/>
          <w:szCs w:val="21"/>
          <w:highlight w:val="none"/>
        </w:rPr>
      </w:pPr>
      <w:r>
        <w:rPr>
          <w:rFonts w:hint="eastAsia" w:ascii="宋体" w:hAnsi="宋体"/>
          <w:color w:val="auto"/>
          <w:szCs w:val="21"/>
          <w:highlight w:val="none"/>
        </w:rPr>
        <w:t xml:space="preserve"> 积极配合乙方工作，为乙方工作提供方便。</w:t>
      </w:r>
    </w:p>
    <w:p>
      <w:pPr>
        <w:numPr>
          <w:ilvl w:val="1"/>
          <w:numId w:val="8"/>
        </w:numPr>
        <w:spacing w:line="360" w:lineRule="auto"/>
        <w:rPr>
          <w:rFonts w:ascii="宋体" w:hAnsi="宋体"/>
          <w:color w:val="auto"/>
          <w:szCs w:val="21"/>
          <w:highlight w:val="none"/>
        </w:rPr>
      </w:pPr>
      <w:r>
        <w:rPr>
          <w:rFonts w:hint="eastAsia" w:ascii="宋体" w:hAnsi="宋体"/>
          <w:color w:val="auto"/>
          <w:szCs w:val="21"/>
          <w:highlight w:val="none"/>
        </w:rPr>
        <w:t xml:space="preserve"> 监督检查委托项目造价咨询工作的进度、质量，并对乙方提供的工作成果进行审核确定。如乙方不按合同条款及甲方的要求执行，或工作成果质量达不到甲方的要求，甲方有权要求乙方进行整改，乙方不得以任何理由拒绝。</w:t>
      </w:r>
    </w:p>
    <w:p>
      <w:pPr>
        <w:numPr>
          <w:ilvl w:val="1"/>
          <w:numId w:val="8"/>
        </w:numPr>
        <w:spacing w:line="360" w:lineRule="auto"/>
        <w:rPr>
          <w:rFonts w:ascii="宋体" w:hAnsi="宋体"/>
          <w:color w:val="auto"/>
          <w:szCs w:val="21"/>
          <w:highlight w:val="none"/>
        </w:rPr>
      </w:pPr>
      <w:r>
        <w:rPr>
          <w:rFonts w:hint="eastAsia" w:ascii="宋体" w:hAnsi="宋体"/>
          <w:color w:val="auto"/>
          <w:szCs w:val="21"/>
          <w:highlight w:val="none"/>
        </w:rPr>
        <w:t xml:space="preserve"> 如甲方发现乙方人员不能满足本工程造价咨询任务的进度时，有权要求乙方增加人员以达到完成进度的需要，乙方不得以任何理由拒绝，否则，由此造成的损失由乙方负责。</w:t>
      </w:r>
    </w:p>
    <w:p>
      <w:pPr>
        <w:numPr>
          <w:ilvl w:val="1"/>
          <w:numId w:val="8"/>
        </w:numPr>
        <w:spacing w:line="360" w:lineRule="auto"/>
        <w:rPr>
          <w:rFonts w:ascii="宋体" w:hAnsi="宋体"/>
          <w:color w:val="auto"/>
          <w:szCs w:val="21"/>
          <w:highlight w:val="none"/>
        </w:rPr>
      </w:pPr>
      <w:r>
        <w:rPr>
          <w:rFonts w:hint="eastAsia" w:ascii="宋体" w:hAnsi="宋体"/>
          <w:color w:val="auto"/>
          <w:szCs w:val="21"/>
          <w:highlight w:val="none"/>
        </w:rPr>
        <w:t xml:space="preserve"> 甲方有权要求乙方更换小组中业务能力较低、工作出现重大失误或配合不力的造价乙方员，乙方应在甲方提出要求后</w:t>
      </w:r>
      <w:r>
        <w:rPr>
          <w:rFonts w:hint="eastAsia" w:ascii="宋体" w:hAnsi="宋体"/>
          <w:b/>
          <w:bCs/>
          <w:color w:val="auto"/>
          <w:szCs w:val="21"/>
          <w:highlight w:val="none"/>
        </w:rPr>
        <w:t>24</w:t>
      </w:r>
      <w:r>
        <w:rPr>
          <w:rFonts w:hint="eastAsia" w:ascii="宋体" w:hAnsi="宋体"/>
          <w:color w:val="auto"/>
          <w:szCs w:val="21"/>
          <w:highlight w:val="none"/>
        </w:rPr>
        <w:t>小时内更换人员。</w:t>
      </w:r>
    </w:p>
    <w:p>
      <w:pPr>
        <w:numPr>
          <w:ilvl w:val="1"/>
          <w:numId w:val="8"/>
        </w:numPr>
        <w:spacing w:line="360" w:lineRule="auto"/>
        <w:rPr>
          <w:rFonts w:ascii="宋体" w:hAnsi="宋体"/>
          <w:color w:val="auto"/>
          <w:szCs w:val="21"/>
          <w:highlight w:val="none"/>
        </w:rPr>
      </w:pPr>
      <w:r>
        <w:rPr>
          <w:rFonts w:hint="eastAsia" w:ascii="宋体" w:hAnsi="宋体"/>
          <w:color w:val="auto"/>
          <w:szCs w:val="21"/>
          <w:highlight w:val="none"/>
        </w:rPr>
        <w:t xml:space="preserve"> 按合同约定及时向乙方支付造价咨询费。</w:t>
      </w:r>
    </w:p>
    <w:p>
      <w:pPr>
        <w:pStyle w:val="3"/>
        <w:spacing w:line="360" w:lineRule="auto"/>
        <w:rPr>
          <w:rFonts w:ascii="宋体" w:hAnsi="宋体" w:eastAsia="宋体"/>
          <w:color w:val="auto"/>
          <w:sz w:val="21"/>
          <w:szCs w:val="21"/>
          <w:highlight w:val="none"/>
        </w:rPr>
      </w:pPr>
      <w:bookmarkStart w:id="7" w:name="_Toc153163643"/>
      <w:r>
        <w:rPr>
          <w:rFonts w:hint="eastAsia" w:ascii="宋体" w:hAnsi="宋体" w:eastAsia="宋体"/>
          <w:color w:val="auto"/>
          <w:sz w:val="21"/>
          <w:szCs w:val="21"/>
          <w:highlight w:val="none"/>
        </w:rPr>
        <w:t>第十条  乙方责任</w:t>
      </w:r>
      <w:bookmarkEnd w:id="7"/>
    </w:p>
    <w:p>
      <w:pPr>
        <w:numPr>
          <w:ilvl w:val="1"/>
          <w:numId w:val="9"/>
        </w:numPr>
        <w:spacing w:line="360" w:lineRule="auto"/>
        <w:rPr>
          <w:rFonts w:ascii="宋体" w:hAnsi="宋体"/>
          <w:color w:val="auto"/>
          <w:szCs w:val="21"/>
          <w:highlight w:val="none"/>
        </w:rPr>
      </w:pPr>
      <w:r>
        <w:rPr>
          <w:rFonts w:hint="eastAsia" w:ascii="宋体" w:hAnsi="宋体"/>
          <w:color w:val="auto"/>
          <w:szCs w:val="21"/>
          <w:highlight w:val="none"/>
        </w:rPr>
        <w:t xml:space="preserve"> 按合同约定完成甲方委托的造价咨询业务，工作中需注重与甲方的沟通和协调。</w:t>
      </w:r>
    </w:p>
    <w:p>
      <w:pPr>
        <w:tabs>
          <w:tab w:val="left" w:pos="480"/>
        </w:tabs>
        <w:spacing w:line="360" w:lineRule="auto"/>
        <w:ind w:left="359" w:leftChars="171" w:firstLine="105" w:firstLineChars="50"/>
        <w:rPr>
          <w:rFonts w:ascii="宋体" w:hAnsi="宋体"/>
          <w:color w:val="FF0000"/>
          <w:szCs w:val="21"/>
          <w:highlight w:val="none"/>
        </w:rPr>
      </w:pPr>
      <w:r>
        <w:rPr>
          <w:rFonts w:hint="eastAsia" w:ascii="宋体" w:hAnsi="宋体"/>
          <w:color w:val="auto"/>
          <w:szCs w:val="21"/>
          <w:highlight w:val="none"/>
        </w:rPr>
        <w:t xml:space="preserve"> 乙方须成立工作小组，配备全职造价乙方员。</w:t>
      </w:r>
      <w:r>
        <w:rPr>
          <w:rFonts w:hint="eastAsia" w:ascii="宋体" w:hAnsi="宋体"/>
          <w:color w:val="FF0000"/>
          <w:szCs w:val="21"/>
          <w:highlight w:val="none"/>
        </w:rPr>
        <w:t>项目工作小组组长为</w:t>
      </w:r>
      <w:r>
        <w:rPr>
          <w:rFonts w:hint="eastAsia" w:ascii="宋体" w:hAnsi="宋体"/>
          <w:color w:val="FF0000"/>
          <w:szCs w:val="21"/>
          <w:highlight w:val="none"/>
          <w:lang w:val="en-US" w:eastAsia="zh-CN"/>
        </w:rPr>
        <w:t xml:space="preserve"> </w:t>
      </w:r>
      <w:r>
        <w:rPr>
          <w:rFonts w:hint="eastAsia" w:ascii="宋体" w:hAnsi="宋体"/>
          <w:color w:val="FF0000"/>
          <w:szCs w:val="21"/>
          <w:highlight w:val="none"/>
          <w:u w:val="single"/>
          <w:lang w:val="en-US" w:eastAsia="zh-CN"/>
        </w:rPr>
        <w:t xml:space="preserve">     </w:t>
      </w:r>
      <w:r>
        <w:rPr>
          <w:rFonts w:hint="eastAsia" w:ascii="宋体" w:hAnsi="宋体"/>
          <w:color w:val="FF0000"/>
          <w:szCs w:val="21"/>
          <w:highlight w:val="none"/>
          <w:u w:val="single"/>
        </w:rPr>
        <w:t>)</w:t>
      </w:r>
      <w:r>
        <w:rPr>
          <w:rFonts w:hint="eastAsia" w:ascii="宋体" w:hAnsi="宋体"/>
          <w:color w:val="FF0000"/>
          <w:szCs w:val="21"/>
          <w:highlight w:val="none"/>
        </w:rPr>
        <w:t xml:space="preserve">。 </w:t>
      </w:r>
    </w:p>
    <w:p>
      <w:pPr>
        <w:numPr>
          <w:ilvl w:val="1"/>
          <w:numId w:val="9"/>
        </w:numPr>
        <w:spacing w:line="360" w:lineRule="auto"/>
        <w:rPr>
          <w:rFonts w:ascii="宋体" w:hAnsi="宋体"/>
          <w:color w:val="auto"/>
          <w:szCs w:val="21"/>
          <w:highlight w:val="none"/>
        </w:rPr>
      </w:pPr>
      <w:r>
        <w:rPr>
          <w:rFonts w:hint="eastAsia" w:ascii="宋体" w:hAnsi="宋体"/>
          <w:color w:val="auto"/>
          <w:szCs w:val="21"/>
          <w:highlight w:val="none"/>
        </w:rPr>
        <w:t xml:space="preserve"> 乙方授权项目组长处理与本工程有关的业务，代表乙方行使合同约定的权力，履行合同约定的职责，乙方的一切要求、通知均以书面形式由乙方项目组长签字后递交甲方。</w:t>
      </w:r>
    </w:p>
    <w:p>
      <w:pPr>
        <w:numPr>
          <w:ilvl w:val="1"/>
          <w:numId w:val="9"/>
        </w:numPr>
        <w:spacing w:line="360" w:lineRule="auto"/>
        <w:rPr>
          <w:rFonts w:ascii="宋体" w:hAnsi="宋体"/>
          <w:color w:val="auto"/>
          <w:szCs w:val="21"/>
          <w:highlight w:val="none"/>
        </w:rPr>
      </w:pPr>
      <w:r>
        <w:rPr>
          <w:rFonts w:hint="eastAsia" w:ascii="宋体" w:hAnsi="宋体"/>
          <w:color w:val="auto"/>
          <w:szCs w:val="21"/>
          <w:highlight w:val="none"/>
        </w:rPr>
        <w:t xml:space="preserve"> 乙方应认真清点并保管好甲方提供的造价资料，工作完成后，乙方须如数、原样返还甲方提供的全部造价资料。如甲方提供的资料不完整，乙方应及时书面通知甲方，若因乙方未及时提出以上要求致使工作延误及错误，由此造成的损失由乙方负责。</w:t>
      </w:r>
    </w:p>
    <w:p>
      <w:pPr>
        <w:numPr>
          <w:ilvl w:val="1"/>
          <w:numId w:val="9"/>
        </w:numPr>
        <w:spacing w:line="360" w:lineRule="auto"/>
        <w:rPr>
          <w:rFonts w:ascii="宋体" w:hAnsi="宋体"/>
          <w:color w:val="auto"/>
          <w:szCs w:val="21"/>
          <w:highlight w:val="none"/>
        </w:rPr>
      </w:pPr>
      <w:r>
        <w:rPr>
          <w:rFonts w:hint="eastAsia" w:ascii="宋体" w:hAnsi="宋体"/>
          <w:color w:val="auto"/>
          <w:szCs w:val="21"/>
          <w:highlight w:val="none"/>
        </w:rPr>
        <w:t xml:space="preserve"> 乙方应对提供的工作成果(包括工程量清单、工程量计算底稿等相关书面及电子文件)的真实性、准确性、合理性、合法性负责，且做到文本资料条理清晰。</w:t>
      </w:r>
    </w:p>
    <w:p>
      <w:pPr>
        <w:numPr>
          <w:ilvl w:val="1"/>
          <w:numId w:val="9"/>
        </w:numPr>
        <w:spacing w:line="360" w:lineRule="auto"/>
        <w:rPr>
          <w:rFonts w:ascii="宋体" w:hAnsi="宋体"/>
          <w:color w:val="auto"/>
          <w:szCs w:val="21"/>
          <w:highlight w:val="none"/>
        </w:rPr>
      </w:pPr>
      <w:r>
        <w:rPr>
          <w:rFonts w:hint="eastAsia" w:ascii="宋体" w:hAnsi="宋体"/>
          <w:color w:val="auto"/>
          <w:szCs w:val="21"/>
          <w:highlight w:val="none"/>
        </w:rPr>
        <w:t xml:space="preserve"> 甲方委托的业务有保密要求，乙方造价乙方员应对委托业务中的各种资料和结论保密，不得透露给第三方。</w:t>
      </w:r>
    </w:p>
    <w:p>
      <w:pPr>
        <w:numPr>
          <w:ilvl w:val="1"/>
          <w:numId w:val="9"/>
        </w:numPr>
        <w:spacing w:line="360" w:lineRule="auto"/>
        <w:rPr>
          <w:rFonts w:ascii="宋体" w:hAnsi="宋体"/>
          <w:color w:val="auto"/>
          <w:szCs w:val="21"/>
          <w:highlight w:val="none"/>
        </w:rPr>
      </w:pPr>
      <w:r>
        <w:rPr>
          <w:rFonts w:hint="eastAsia" w:ascii="宋体" w:hAnsi="宋体"/>
          <w:color w:val="auto"/>
          <w:szCs w:val="21"/>
          <w:highlight w:val="none"/>
        </w:rPr>
        <w:t xml:space="preserve"> 乙方须积极、及时地配合甲方的相关工作。</w:t>
      </w:r>
    </w:p>
    <w:p>
      <w:pPr>
        <w:numPr>
          <w:ilvl w:val="1"/>
          <w:numId w:val="9"/>
        </w:numPr>
        <w:spacing w:line="360" w:lineRule="auto"/>
        <w:rPr>
          <w:rFonts w:ascii="宋体" w:hAnsi="宋体"/>
          <w:color w:val="auto"/>
          <w:szCs w:val="21"/>
          <w:highlight w:val="none"/>
        </w:rPr>
      </w:pPr>
      <w:r>
        <w:rPr>
          <w:rFonts w:hint="eastAsia" w:ascii="宋体" w:hAnsi="宋体"/>
          <w:color w:val="auto"/>
          <w:szCs w:val="21"/>
          <w:highlight w:val="none"/>
        </w:rPr>
        <w:t xml:space="preserve"> 乙方造价乙方员在代表甲方与施工单位/供应商的价格谈判中应以理服人，努力保护甲方的经济利益。</w:t>
      </w:r>
    </w:p>
    <w:p>
      <w:pPr>
        <w:pStyle w:val="3"/>
        <w:spacing w:line="360" w:lineRule="auto"/>
        <w:rPr>
          <w:rFonts w:ascii="宋体" w:hAnsi="宋体" w:eastAsia="宋体"/>
          <w:color w:val="auto"/>
          <w:sz w:val="21"/>
          <w:szCs w:val="21"/>
          <w:highlight w:val="none"/>
        </w:rPr>
      </w:pPr>
      <w:bookmarkStart w:id="8" w:name="_Toc153163644"/>
      <w:r>
        <w:rPr>
          <w:rFonts w:hint="eastAsia" w:ascii="宋体" w:hAnsi="宋体" w:eastAsia="宋体"/>
          <w:color w:val="auto"/>
          <w:sz w:val="21"/>
          <w:szCs w:val="21"/>
          <w:highlight w:val="none"/>
        </w:rPr>
        <w:t>第十一条  违约责任</w:t>
      </w:r>
      <w:bookmarkEnd w:id="8"/>
    </w:p>
    <w:p>
      <w:pPr>
        <w:numPr>
          <w:ilvl w:val="1"/>
          <w:numId w:val="10"/>
        </w:numPr>
        <w:spacing w:line="360" w:lineRule="auto"/>
        <w:rPr>
          <w:rFonts w:ascii="宋体" w:hAnsi="宋体"/>
          <w:color w:val="auto"/>
          <w:szCs w:val="21"/>
          <w:highlight w:val="none"/>
        </w:rPr>
      </w:pPr>
      <w:r>
        <w:rPr>
          <w:rFonts w:hint="eastAsia" w:ascii="宋体" w:hAnsi="宋体"/>
          <w:color w:val="auto"/>
          <w:szCs w:val="21"/>
          <w:highlight w:val="none"/>
        </w:rPr>
        <w:t xml:space="preserve"> 合同双方任何一方不能履行或未切实履行合同条款，均属违约。违约所造成的损失，按本合同规定及政府有关政策，由违约方承担。 </w:t>
      </w:r>
    </w:p>
    <w:p>
      <w:pPr>
        <w:numPr>
          <w:ilvl w:val="1"/>
          <w:numId w:val="10"/>
        </w:numPr>
        <w:tabs>
          <w:tab w:val="left" w:pos="900"/>
        </w:tabs>
        <w:spacing w:line="360" w:lineRule="auto"/>
        <w:rPr>
          <w:rFonts w:ascii="宋体" w:hAnsi="宋体"/>
          <w:color w:val="auto"/>
          <w:szCs w:val="21"/>
          <w:highlight w:val="none"/>
        </w:rPr>
      </w:pPr>
      <w:r>
        <w:rPr>
          <w:rFonts w:hint="eastAsia" w:ascii="宋体" w:hAnsi="宋体"/>
          <w:color w:val="auto"/>
          <w:szCs w:val="21"/>
          <w:highlight w:val="none"/>
        </w:rPr>
        <w:t xml:space="preserve"> 由于乙方原因未按照规定的时间完成委托业务，每逾期一天，乙方应向甲方支付</w:t>
      </w:r>
      <w:r>
        <w:rPr>
          <w:rFonts w:hint="eastAsia" w:ascii="宋体" w:hAnsi="宋体"/>
          <w:b/>
          <w:bCs/>
          <w:color w:val="auto"/>
          <w:szCs w:val="21"/>
          <w:highlight w:val="none"/>
        </w:rPr>
        <w:t>300</w:t>
      </w:r>
      <w:r>
        <w:rPr>
          <w:rFonts w:hint="eastAsia" w:ascii="宋体" w:hAnsi="宋体"/>
          <w:color w:val="auto"/>
          <w:szCs w:val="21"/>
          <w:highlight w:val="none"/>
        </w:rPr>
        <w:t>元/日的逾期违约金，逾期超过十天的，乙方应向甲方支付3000元/日的逾期违约金，且甲方有权单方解除合同，乙方须返还已收到的合同价款, 并赔偿甲方因解除合同受到的损失。</w:t>
      </w:r>
    </w:p>
    <w:p>
      <w:pPr>
        <w:numPr>
          <w:ilvl w:val="1"/>
          <w:numId w:val="10"/>
        </w:numPr>
        <w:tabs>
          <w:tab w:val="left" w:pos="900"/>
        </w:tabs>
        <w:spacing w:line="360" w:lineRule="auto"/>
        <w:rPr>
          <w:rFonts w:ascii="宋体" w:hAnsi="宋体"/>
          <w:color w:val="auto"/>
          <w:szCs w:val="21"/>
          <w:highlight w:val="none"/>
        </w:rPr>
      </w:pPr>
      <w:r>
        <w:rPr>
          <w:rFonts w:hint="eastAsia" w:ascii="宋体" w:hAnsi="宋体"/>
          <w:color w:val="auto"/>
          <w:szCs w:val="21"/>
          <w:highlight w:val="none"/>
        </w:rPr>
        <w:t>因乙方乙方员不称职，甲方要求调换而乙方3日内未及时调换的，视为乙方违约，必须向甲方支付违约金2000元/人</w:t>
      </w:r>
      <w:r>
        <w:rPr>
          <w:color w:val="auto"/>
          <w:szCs w:val="21"/>
          <w:highlight w:val="none"/>
        </w:rPr>
        <w:t>•</w:t>
      </w:r>
      <w:r>
        <w:rPr>
          <w:rFonts w:hint="eastAsia" w:ascii="宋体" w:hAnsi="宋体"/>
          <w:color w:val="auto"/>
          <w:szCs w:val="21"/>
          <w:highlight w:val="none"/>
        </w:rPr>
        <w:t>次（人民币）。</w:t>
      </w:r>
    </w:p>
    <w:p>
      <w:pPr>
        <w:numPr>
          <w:ilvl w:val="1"/>
          <w:numId w:val="10"/>
        </w:numPr>
        <w:tabs>
          <w:tab w:val="left" w:pos="900"/>
        </w:tabs>
        <w:spacing w:line="360" w:lineRule="auto"/>
        <w:rPr>
          <w:rFonts w:ascii="宋体" w:hAnsi="宋体"/>
          <w:color w:val="auto"/>
          <w:szCs w:val="21"/>
          <w:highlight w:val="none"/>
        </w:rPr>
      </w:pPr>
      <w:bookmarkStart w:id="9" w:name="_Toc153163645"/>
      <w:r>
        <w:rPr>
          <w:rFonts w:hint="eastAsia" w:ascii="宋体" w:hAnsi="宋体"/>
          <w:color w:val="auto"/>
          <w:szCs w:val="21"/>
          <w:highlight w:val="none"/>
        </w:rPr>
        <w:t>乙方必须保证其成果的准确性。单栋工程量清单的误差应控制在±3%以内，超过±3%，视为工作质量差错，按下述办法扣减编制费：</w:t>
      </w:r>
    </w:p>
    <w:p>
      <w:pPr>
        <w:spacing w:line="360" w:lineRule="auto"/>
        <w:ind w:left="461"/>
        <w:rPr>
          <w:rFonts w:ascii="宋体" w:hAnsi="宋体"/>
          <w:color w:val="auto"/>
          <w:szCs w:val="21"/>
          <w:highlight w:val="none"/>
        </w:rPr>
      </w:pPr>
      <w:r>
        <w:rPr>
          <w:rFonts w:hint="eastAsia" w:ascii="宋体" w:hAnsi="宋体"/>
          <w:color w:val="auto"/>
          <w:szCs w:val="21"/>
          <w:highlight w:val="none"/>
        </w:rPr>
        <w:t>（1）误差在±3%以上至±5%之间，编制费按合同约定金额扣减20%；</w:t>
      </w:r>
    </w:p>
    <w:p>
      <w:pPr>
        <w:spacing w:line="360" w:lineRule="auto"/>
        <w:ind w:left="461"/>
        <w:rPr>
          <w:rFonts w:ascii="宋体" w:hAnsi="宋体"/>
          <w:color w:val="auto"/>
          <w:szCs w:val="21"/>
          <w:highlight w:val="none"/>
        </w:rPr>
      </w:pPr>
      <w:r>
        <w:rPr>
          <w:rFonts w:hint="eastAsia" w:ascii="宋体" w:hAnsi="宋体"/>
          <w:color w:val="auto"/>
          <w:szCs w:val="21"/>
          <w:highlight w:val="none"/>
        </w:rPr>
        <w:t>（2）误差在±5%以上至±10%之间，编制费按合同约定金额扣减40%；</w:t>
      </w:r>
    </w:p>
    <w:p>
      <w:pPr>
        <w:spacing w:line="360" w:lineRule="auto"/>
        <w:ind w:left="461"/>
        <w:rPr>
          <w:rFonts w:ascii="宋体" w:hAnsi="宋体"/>
          <w:color w:val="auto"/>
          <w:szCs w:val="21"/>
          <w:highlight w:val="none"/>
        </w:rPr>
      </w:pPr>
      <w:r>
        <w:rPr>
          <w:rFonts w:hint="eastAsia" w:ascii="宋体" w:hAnsi="宋体"/>
          <w:color w:val="auto"/>
          <w:szCs w:val="21"/>
          <w:highlight w:val="none"/>
        </w:rPr>
        <w:t>（3）误差在±10%以上至±15%之间，编制费按合同约定金额扣减80%；</w:t>
      </w:r>
    </w:p>
    <w:p>
      <w:pPr>
        <w:spacing w:line="360" w:lineRule="auto"/>
        <w:ind w:left="461"/>
        <w:rPr>
          <w:rFonts w:ascii="宋体" w:hAnsi="宋体"/>
          <w:color w:val="auto"/>
          <w:szCs w:val="21"/>
          <w:highlight w:val="none"/>
        </w:rPr>
      </w:pPr>
      <w:r>
        <w:rPr>
          <w:rFonts w:hint="eastAsia" w:ascii="宋体" w:hAnsi="宋体"/>
          <w:color w:val="auto"/>
          <w:szCs w:val="21"/>
          <w:highlight w:val="none"/>
        </w:rPr>
        <w:t>（4）误差在±15%以上，不支付编制费。</w:t>
      </w:r>
    </w:p>
    <w:p>
      <w:pPr>
        <w:spacing w:line="540" w:lineRule="exact"/>
        <w:ind w:left="420" w:hanging="420" w:hangingChars="200"/>
        <w:rPr>
          <w:rFonts w:ascii="宋体" w:hAnsi="宋体"/>
          <w:color w:val="auto"/>
          <w:szCs w:val="21"/>
          <w:highlight w:val="none"/>
        </w:rPr>
      </w:pPr>
      <w:r>
        <w:rPr>
          <w:rFonts w:hint="eastAsia" w:ascii="宋体" w:hAnsi="宋体"/>
          <w:color w:val="auto"/>
          <w:szCs w:val="21"/>
          <w:highlight w:val="none"/>
        </w:rPr>
        <w:t>11.5</w:t>
      </w:r>
      <w:r>
        <w:rPr>
          <w:rFonts w:hint="eastAsia" w:ascii="宋体" w:hAnsi="宋体" w:cs="华文楷体"/>
          <w:color w:val="auto"/>
          <w:szCs w:val="21"/>
          <w:highlight w:val="none"/>
        </w:rPr>
        <w:t>如乙方向甲方开具的增值税专用发票是无效虚假发票或者发生延迟开具增值税专用发票的情况，乙方应负责赔偿甲方因为乙方开具虚假发票和延迟开具发票造成的一切损失或损害，包括但不限于税金、附加费、罚金、滞纳金和法律费用。</w:t>
      </w:r>
      <w:r>
        <w:rPr>
          <w:rFonts w:hint="eastAsia" w:ascii="宋体" w:hAnsi="宋体"/>
          <w:color w:val="auto"/>
          <w:szCs w:val="21"/>
          <w:highlight w:val="none"/>
        </w:rPr>
        <w:t>若乙方开具的发票是虚假发票，或是无效发票的，乙方还须另行按合同总金额的百分之二十向甲方支付违约金，支付违约金不免除乙方的开票义务。</w:t>
      </w:r>
    </w:p>
    <w:p>
      <w:pPr>
        <w:spacing w:line="540" w:lineRule="exact"/>
        <w:ind w:left="525" w:hanging="525" w:hangingChars="250"/>
        <w:rPr>
          <w:rFonts w:ascii="宋体" w:hAnsi="宋体"/>
          <w:color w:val="auto"/>
          <w:szCs w:val="21"/>
          <w:highlight w:val="none"/>
        </w:rPr>
      </w:pPr>
      <w:r>
        <w:rPr>
          <w:rFonts w:hint="eastAsia" w:ascii="宋体" w:hAnsi="宋体"/>
          <w:color w:val="auto"/>
          <w:szCs w:val="21"/>
          <w:highlight w:val="none"/>
        </w:rPr>
        <w:t>11.6乙方违约应承担相应的违约责任并支付违约金，甲方在收到违约金的同时，向乙方开具违约金等额的收款收据。同时，乙方应就工程款全额[不得扣除向甲方支付的违约金金额]向甲方开具增值税专用发票。</w:t>
      </w:r>
    </w:p>
    <w:p>
      <w:pPr>
        <w:pStyle w:val="3"/>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第十二条：其他</w:t>
      </w:r>
      <w:bookmarkEnd w:id="9"/>
    </w:p>
    <w:p>
      <w:pPr>
        <w:adjustRightInd w:val="0"/>
        <w:spacing w:line="360" w:lineRule="auto"/>
        <w:rPr>
          <w:rFonts w:ascii="宋体" w:hAnsi="宋体"/>
          <w:color w:val="auto"/>
          <w:szCs w:val="21"/>
          <w:highlight w:val="none"/>
        </w:rPr>
      </w:pPr>
      <w:r>
        <w:rPr>
          <w:rFonts w:hint="eastAsia" w:ascii="宋体" w:hAnsi="宋体"/>
          <w:color w:val="auto"/>
          <w:szCs w:val="21"/>
          <w:highlight w:val="none"/>
        </w:rPr>
        <w:t>12.1合同履行过程中发生争议，甲乙双方应本着友好态度协商，协商不成，双方均可向</w:t>
      </w:r>
      <w:r>
        <w:rPr>
          <w:rFonts w:hint="eastAsia" w:ascii="宋体" w:hAnsi="宋体"/>
          <w:color w:val="auto"/>
          <w:szCs w:val="21"/>
          <w:highlight w:val="none"/>
          <w:u w:val="single"/>
        </w:rPr>
        <w:t xml:space="preserve">甲方所在地人民法院 </w:t>
      </w:r>
      <w:r>
        <w:rPr>
          <w:rFonts w:hint="eastAsia" w:ascii="宋体" w:hAnsi="宋体"/>
          <w:color w:val="auto"/>
          <w:szCs w:val="21"/>
          <w:highlight w:val="none"/>
        </w:rPr>
        <w:t>起诉。</w:t>
      </w:r>
    </w:p>
    <w:p>
      <w:pPr>
        <w:adjustRightInd w:val="0"/>
        <w:spacing w:line="360" w:lineRule="auto"/>
        <w:rPr>
          <w:rFonts w:ascii="宋体" w:hAnsi="宋体"/>
          <w:color w:val="auto"/>
          <w:szCs w:val="21"/>
          <w:highlight w:val="none"/>
        </w:rPr>
      </w:pPr>
      <w:r>
        <w:rPr>
          <w:rFonts w:hint="eastAsia" w:ascii="宋体" w:hAnsi="宋体"/>
          <w:color w:val="auto"/>
          <w:szCs w:val="21"/>
          <w:highlight w:val="none"/>
        </w:rPr>
        <w:t>12.2此前发出的有关文件与本合同如有冲突之处，以本合同为准。</w:t>
      </w:r>
    </w:p>
    <w:p>
      <w:pPr>
        <w:tabs>
          <w:tab w:val="left" w:pos="900"/>
        </w:tabs>
        <w:spacing w:line="360" w:lineRule="auto"/>
        <w:rPr>
          <w:rFonts w:ascii="宋体" w:hAnsi="宋体"/>
          <w:color w:val="auto"/>
          <w:szCs w:val="21"/>
          <w:highlight w:val="none"/>
        </w:rPr>
      </w:pPr>
      <w:r>
        <w:rPr>
          <w:rFonts w:hint="eastAsia" w:ascii="宋体" w:hAnsi="宋体"/>
          <w:color w:val="auto"/>
          <w:szCs w:val="21"/>
          <w:highlight w:val="none"/>
        </w:rPr>
        <w:t>12.3本合同自甲、乙双方法定代表人签字或盖章并加盖单位公章后生效。甲乙双方权利义务履行完毕后，本合同自动终止。</w:t>
      </w:r>
    </w:p>
    <w:p>
      <w:pPr>
        <w:tabs>
          <w:tab w:val="left" w:pos="900"/>
        </w:tabs>
        <w:spacing w:line="360" w:lineRule="auto"/>
        <w:rPr>
          <w:rFonts w:ascii="宋体" w:hAnsi="宋体"/>
          <w:color w:val="auto"/>
          <w:szCs w:val="21"/>
          <w:highlight w:val="none"/>
        </w:rPr>
      </w:pPr>
      <w:r>
        <w:rPr>
          <w:rFonts w:hint="eastAsia" w:ascii="宋体" w:hAnsi="宋体"/>
          <w:color w:val="auto"/>
          <w:szCs w:val="21"/>
          <w:highlight w:val="none"/>
        </w:rPr>
        <w:t>12.4除另外说明外，本合同中的“天”为日历天。</w:t>
      </w:r>
    </w:p>
    <w:p>
      <w:pPr>
        <w:adjustRightInd w:val="0"/>
        <w:spacing w:line="460" w:lineRule="exact"/>
        <w:rPr>
          <w:rFonts w:ascii="宋体" w:hAnsi="宋体"/>
          <w:color w:val="FF0000"/>
          <w:szCs w:val="21"/>
          <w:highlight w:val="none"/>
        </w:rPr>
      </w:pPr>
      <w:r>
        <w:rPr>
          <w:rFonts w:hint="eastAsia" w:ascii="宋体" w:hAnsi="宋体"/>
          <w:color w:val="FF0000"/>
          <w:szCs w:val="21"/>
          <w:highlight w:val="none"/>
        </w:rPr>
        <w:t>12.5本合同一式</w:t>
      </w:r>
      <w:r>
        <w:rPr>
          <w:rFonts w:hint="eastAsia" w:ascii="宋体" w:hAnsi="宋体"/>
          <w:color w:val="FF0000"/>
          <w:szCs w:val="21"/>
          <w:highlight w:val="none"/>
          <w:u w:val="single"/>
          <w:lang w:val="en-US" w:eastAsia="zh-CN"/>
        </w:rPr>
        <w:t xml:space="preserve">  陆  </w:t>
      </w:r>
      <w:r>
        <w:rPr>
          <w:rFonts w:hint="eastAsia" w:ascii="宋体" w:hAnsi="宋体"/>
          <w:color w:val="FF0000"/>
          <w:szCs w:val="21"/>
          <w:highlight w:val="none"/>
        </w:rPr>
        <w:t>份，</w:t>
      </w:r>
      <w:r>
        <w:rPr>
          <w:rFonts w:hint="eastAsia" w:ascii="宋体" w:hAnsi="宋体"/>
          <w:color w:val="FF0000"/>
          <w:szCs w:val="21"/>
          <w:highlight w:val="none"/>
          <w:lang w:eastAsia="zh-CN"/>
        </w:rPr>
        <w:t>甲</w:t>
      </w:r>
      <w:r>
        <w:rPr>
          <w:rFonts w:hint="eastAsia" w:ascii="宋体" w:hAnsi="宋体"/>
          <w:color w:val="FF0000"/>
          <w:szCs w:val="21"/>
          <w:highlight w:val="none"/>
        </w:rPr>
        <w:t>方持</w:t>
      </w:r>
      <w:r>
        <w:rPr>
          <w:rFonts w:hint="eastAsia" w:ascii="宋体" w:hAnsi="宋体"/>
          <w:color w:val="FF0000"/>
          <w:szCs w:val="21"/>
          <w:highlight w:val="none"/>
          <w:u w:val="single"/>
          <w:lang w:val="en-US" w:eastAsia="zh-CN"/>
        </w:rPr>
        <w:t xml:space="preserve">  肆  </w:t>
      </w:r>
      <w:r>
        <w:rPr>
          <w:rFonts w:hint="eastAsia" w:ascii="宋体" w:hAnsi="宋体"/>
          <w:color w:val="FF0000"/>
          <w:szCs w:val="21"/>
          <w:highlight w:val="none"/>
        </w:rPr>
        <w:t>份</w:t>
      </w:r>
      <w:r>
        <w:rPr>
          <w:rFonts w:hint="eastAsia" w:ascii="宋体" w:hAnsi="宋体"/>
          <w:color w:val="FF0000"/>
          <w:szCs w:val="21"/>
          <w:highlight w:val="none"/>
          <w:lang w:eastAsia="zh-CN"/>
        </w:rPr>
        <w:t>，乙方</w:t>
      </w:r>
      <w:r>
        <w:rPr>
          <w:rFonts w:hint="eastAsia" w:ascii="宋体" w:hAnsi="宋体"/>
          <w:color w:val="FF0000"/>
          <w:szCs w:val="21"/>
          <w:highlight w:val="none"/>
        </w:rPr>
        <w:t>持</w:t>
      </w:r>
      <w:r>
        <w:rPr>
          <w:rFonts w:hint="eastAsia" w:ascii="宋体" w:hAnsi="宋体"/>
          <w:color w:val="FF0000"/>
          <w:szCs w:val="21"/>
          <w:highlight w:val="none"/>
          <w:u w:val="single"/>
          <w:lang w:val="en-US" w:eastAsia="zh-CN"/>
        </w:rPr>
        <w:t xml:space="preserve">  贰 </w:t>
      </w:r>
      <w:r>
        <w:rPr>
          <w:rFonts w:hint="eastAsia" w:ascii="宋体" w:hAnsi="宋体"/>
          <w:color w:val="FF0000"/>
          <w:szCs w:val="21"/>
          <w:highlight w:val="none"/>
        </w:rPr>
        <w:t>份。</w:t>
      </w:r>
    </w:p>
    <w:p>
      <w:pPr>
        <w:adjustRightInd w:val="0"/>
        <w:spacing w:line="460" w:lineRule="exact"/>
        <w:rPr>
          <w:rFonts w:ascii="宋体" w:hAnsi="宋体"/>
          <w:color w:val="auto"/>
          <w:szCs w:val="21"/>
          <w:highlight w:val="none"/>
        </w:rPr>
      </w:pPr>
      <w:r>
        <w:rPr>
          <w:rFonts w:hint="eastAsia" w:ascii="宋体" w:hAnsi="宋体"/>
          <w:color w:val="auto"/>
          <w:szCs w:val="21"/>
          <w:highlight w:val="none"/>
        </w:rPr>
        <w:t>12.6本合同载明的各方地址（住所）为各方有效通讯地址，一方向对方发出的任何通知、信函和文件，以挂号信函或快递信函方式向对方地址（住所）邮寄有关通知、信函和文件的，自发出之日起第三日视为送达对方，挂号信函或快递信函的邮寄凭证即视为成功送达的有效凭证。一方地址（住所）变更的，应及时通知对方，否则本合同载明的地址（住所）仍为有效通讯地址。</w:t>
      </w:r>
    </w:p>
    <w:p>
      <w:pPr>
        <w:pStyle w:val="3"/>
        <w:widowControl/>
        <w:spacing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第十三条  合同生效</w:t>
      </w:r>
    </w:p>
    <w:p>
      <w:pPr>
        <w:spacing w:line="360" w:lineRule="auto"/>
        <w:jc w:val="left"/>
        <w:rPr>
          <w:rFonts w:ascii="宋体" w:hAnsi="宋体"/>
          <w:color w:val="FF0000"/>
          <w:szCs w:val="21"/>
          <w:highlight w:val="none"/>
        </w:rPr>
      </w:pPr>
      <w:r>
        <w:rPr>
          <w:rFonts w:hint="eastAsia" w:ascii="宋体" w:hAnsi="宋体"/>
          <w:color w:val="FF0000"/>
          <w:szCs w:val="21"/>
          <w:highlight w:val="none"/>
        </w:rPr>
        <w:t>13.1 合同订立日期：</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2021</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pPr>
        <w:spacing w:line="360" w:lineRule="auto"/>
        <w:jc w:val="left"/>
        <w:rPr>
          <w:rFonts w:ascii="宋体" w:hAnsi="宋体"/>
          <w:color w:val="auto"/>
          <w:szCs w:val="21"/>
          <w:highlight w:val="none"/>
          <w:u w:val="single"/>
        </w:rPr>
      </w:pPr>
      <w:r>
        <w:rPr>
          <w:rFonts w:hint="eastAsia" w:ascii="宋体" w:hAnsi="宋体"/>
          <w:color w:val="auto"/>
          <w:szCs w:val="21"/>
          <w:highlight w:val="none"/>
        </w:rPr>
        <w:t>13.2 合同订立地点：南宁市青秀区</w:t>
      </w:r>
    </w:p>
    <w:p>
      <w:pPr>
        <w:spacing w:line="360" w:lineRule="auto"/>
        <w:jc w:val="left"/>
        <w:rPr>
          <w:rFonts w:ascii="宋体" w:hAnsi="宋体"/>
          <w:color w:val="auto"/>
          <w:szCs w:val="21"/>
          <w:highlight w:val="none"/>
        </w:rPr>
      </w:pPr>
      <w:r>
        <w:rPr>
          <w:rFonts w:hint="eastAsia" w:ascii="宋体" w:hAnsi="宋体"/>
          <w:color w:val="auto"/>
          <w:szCs w:val="21"/>
          <w:highlight w:val="none"/>
        </w:rPr>
        <w:t>13.3 本合同双方约定签字、盖章后生效。</w:t>
      </w:r>
    </w:p>
    <w:p>
      <w:pPr>
        <w:spacing w:line="360" w:lineRule="auto"/>
        <w:rPr>
          <w:rFonts w:ascii="宋体" w:hAnsi="宋体"/>
          <w:b/>
          <w:color w:val="auto"/>
          <w:szCs w:val="21"/>
          <w:highlight w:val="none"/>
        </w:rPr>
      </w:pPr>
      <w:r>
        <w:rPr>
          <w:rFonts w:hint="eastAsia" w:ascii="宋体" w:hAnsi="宋体"/>
          <w:b/>
          <w:color w:val="auto"/>
          <w:szCs w:val="21"/>
          <w:highlight w:val="none"/>
        </w:rPr>
        <w:t>第十四条   附件</w:t>
      </w:r>
    </w:p>
    <w:p>
      <w:pPr>
        <w:spacing w:line="360" w:lineRule="auto"/>
        <w:rPr>
          <w:rFonts w:ascii="宋体" w:hAnsi="宋体"/>
          <w:color w:val="auto"/>
          <w:szCs w:val="21"/>
          <w:highlight w:val="none"/>
        </w:rPr>
      </w:pPr>
      <w:r>
        <w:rPr>
          <w:rFonts w:hint="eastAsia" w:ascii="宋体" w:hAnsi="宋体"/>
          <w:color w:val="auto"/>
          <w:szCs w:val="21"/>
          <w:highlight w:val="none"/>
        </w:rPr>
        <w:t>附件一：投入人员名单表</w:t>
      </w:r>
    </w:p>
    <w:p>
      <w:pPr>
        <w:spacing w:line="320" w:lineRule="exact"/>
        <w:rPr>
          <w:rFonts w:ascii="宋体" w:hAnsi="宋体"/>
          <w:color w:val="auto"/>
          <w:sz w:val="24"/>
          <w:highlight w:val="none"/>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rPr>
                <w:rFonts w:hint="eastAsia" w:ascii="宋体" w:hAnsi="宋体" w:cs="Times New Roman"/>
                <w:color w:val="FF0000"/>
                <w:szCs w:val="21"/>
                <w:highlight w:val="none"/>
              </w:rPr>
            </w:pPr>
            <w:r>
              <w:rPr>
                <w:rFonts w:hint="eastAsia" w:ascii="宋体" w:hAnsi="宋体" w:cs="Times New Roman"/>
                <w:color w:val="FF0000"/>
                <w:szCs w:val="21"/>
                <w:highlight w:val="none"/>
              </w:rPr>
              <w:t>甲方（盖章）：  广西警察学院</w:t>
            </w:r>
          </w:p>
        </w:tc>
        <w:tc>
          <w:tcPr>
            <w:tcW w:w="4261" w:type="dxa"/>
            <w:noWrap w:val="0"/>
            <w:vAlign w:val="top"/>
          </w:tcPr>
          <w:p>
            <w:pPr>
              <w:rPr>
                <w:rFonts w:hint="eastAsia" w:ascii="宋体" w:hAnsi="宋体" w:cs="Times New Roman"/>
                <w:color w:val="FF0000"/>
                <w:szCs w:val="21"/>
                <w:highlight w:val="none"/>
              </w:rPr>
            </w:pPr>
            <w:r>
              <w:rPr>
                <w:rFonts w:hint="eastAsia" w:ascii="宋体" w:hAnsi="宋体" w:cs="Times New Roman"/>
                <w:color w:val="FF0000"/>
                <w:szCs w:val="21"/>
                <w:highlight w:val="none"/>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rPr>
                <w:rFonts w:hint="eastAsia" w:ascii="宋体" w:hAnsi="宋体" w:cs="Times New Roman"/>
                <w:color w:val="FF0000"/>
                <w:szCs w:val="21"/>
                <w:highlight w:val="none"/>
              </w:rPr>
            </w:pPr>
            <w:r>
              <w:rPr>
                <w:rFonts w:hint="eastAsia" w:ascii="宋体" w:hAnsi="宋体" w:cs="Times New Roman"/>
                <w:color w:val="FF0000"/>
                <w:szCs w:val="21"/>
                <w:highlight w:val="none"/>
              </w:rPr>
              <w:t xml:space="preserve">法定代表人（签章）： </w:t>
            </w:r>
          </w:p>
        </w:tc>
        <w:tc>
          <w:tcPr>
            <w:tcW w:w="4261" w:type="dxa"/>
            <w:noWrap w:val="0"/>
            <w:vAlign w:val="top"/>
          </w:tcPr>
          <w:p>
            <w:pPr>
              <w:rPr>
                <w:rFonts w:hint="eastAsia" w:ascii="宋体" w:hAnsi="宋体" w:cs="Times New Roman"/>
                <w:color w:val="FF0000"/>
                <w:szCs w:val="21"/>
                <w:highlight w:val="none"/>
              </w:rPr>
            </w:pPr>
            <w:r>
              <w:rPr>
                <w:rFonts w:hint="eastAsia" w:ascii="宋体" w:hAnsi="宋体" w:cs="Times New Roman"/>
                <w:color w:val="FF0000"/>
                <w:szCs w:val="21"/>
                <w:highlight w:val="none"/>
              </w:rPr>
              <w:t>法定代表人（签章）：</w:t>
            </w:r>
          </w:p>
          <w:p>
            <w:pPr>
              <w:rPr>
                <w:rFonts w:hint="eastAsia" w:ascii="宋体" w:hAnsi="宋体" w:cs="Times New Roman"/>
                <w:color w:val="FF000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rPr>
                <w:color w:val="FF0000"/>
                <w:vertAlign w:val="baseline"/>
              </w:rPr>
            </w:pPr>
            <w:r>
              <w:rPr>
                <w:rFonts w:hint="eastAsia" w:ascii="宋体" w:hAnsi="宋体"/>
                <w:color w:val="FF0000"/>
                <w:szCs w:val="21"/>
                <w:highlight w:val="none"/>
              </w:rPr>
              <w:t>地址：南宁市军堂路148号</w:t>
            </w:r>
          </w:p>
        </w:tc>
        <w:tc>
          <w:tcPr>
            <w:tcW w:w="4261" w:type="dxa"/>
            <w:noWrap w:val="0"/>
            <w:vAlign w:val="top"/>
          </w:tcPr>
          <w:p>
            <w:pPr>
              <w:rPr>
                <w:color w:val="FF0000"/>
                <w:vertAlign w:val="baseline"/>
              </w:rPr>
            </w:pPr>
            <w:r>
              <w:rPr>
                <w:rFonts w:hint="eastAsia" w:ascii="宋体" w:hAnsi="宋体"/>
                <w:color w:val="FF0000"/>
                <w:szCs w:val="21"/>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rPr>
                <w:color w:val="FF0000"/>
                <w:vertAlign w:val="baseline"/>
              </w:rPr>
            </w:pPr>
            <w:r>
              <w:rPr>
                <w:rFonts w:hint="eastAsia" w:ascii="宋体" w:hAnsi="宋体"/>
                <w:color w:val="FF0000"/>
                <w:szCs w:val="21"/>
                <w:highlight w:val="none"/>
              </w:rPr>
              <w:t>电话：</w:t>
            </w:r>
            <w:r>
              <w:rPr>
                <w:rFonts w:hint="eastAsia" w:ascii="宋体" w:hAnsi="宋体" w:cs="Times New Roman"/>
                <w:color w:val="FF0000"/>
                <w:szCs w:val="21"/>
                <w:highlight w:val="none"/>
              </w:rPr>
              <w:t>0771-5615802</w:t>
            </w:r>
          </w:p>
        </w:tc>
        <w:tc>
          <w:tcPr>
            <w:tcW w:w="4261" w:type="dxa"/>
            <w:noWrap w:val="0"/>
            <w:vAlign w:val="top"/>
          </w:tcPr>
          <w:p>
            <w:pPr>
              <w:rPr>
                <w:rFonts w:hint="default" w:eastAsia="宋体"/>
                <w:color w:val="FF0000"/>
                <w:vertAlign w:val="baseline"/>
                <w:lang w:val="en-US" w:eastAsia="zh-CN"/>
              </w:rPr>
            </w:pPr>
            <w:r>
              <w:rPr>
                <w:rFonts w:hint="eastAsia" w:ascii="宋体" w:hAnsi="宋体"/>
                <w:color w:val="FF0000"/>
                <w:szCs w:val="21"/>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rPr>
                <w:color w:val="FF0000"/>
                <w:vertAlign w:val="baseline"/>
              </w:rPr>
            </w:pPr>
            <w:r>
              <w:rPr>
                <w:rFonts w:hint="eastAsia" w:ascii="宋体" w:hAnsi="宋体" w:cs="宋体"/>
                <w:color w:val="FF0000"/>
                <w:kern w:val="0"/>
                <w:szCs w:val="21"/>
                <w:highlight w:val="none"/>
              </w:rPr>
              <w:t>纳税人识别</w:t>
            </w:r>
            <w:r>
              <w:rPr>
                <w:rFonts w:ascii="宋体" w:hAnsi="宋体" w:cs="宋体"/>
                <w:color w:val="FF0000"/>
                <w:kern w:val="0"/>
                <w:szCs w:val="21"/>
                <w:highlight w:val="none"/>
              </w:rPr>
              <w:t>号：</w:t>
            </w:r>
          </w:p>
        </w:tc>
        <w:tc>
          <w:tcPr>
            <w:tcW w:w="4261" w:type="dxa"/>
            <w:noWrap w:val="0"/>
            <w:vAlign w:val="top"/>
          </w:tcPr>
          <w:p>
            <w:pPr>
              <w:rPr>
                <w:color w:val="FF0000"/>
                <w:vertAlign w:val="baseline"/>
              </w:rPr>
            </w:pPr>
            <w:r>
              <w:rPr>
                <w:rFonts w:hint="eastAsia" w:ascii="宋体" w:hAnsi="宋体" w:cs="宋体"/>
                <w:color w:val="FF0000"/>
                <w:kern w:val="0"/>
                <w:szCs w:val="21"/>
                <w:highlight w:val="none"/>
              </w:rPr>
              <w:t>纳税人识别</w:t>
            </w:r>
            <w:r>
              <w:rPr>
                <w:rFonts w:ascii="宋体" w:hAnsi="宋体" w:cs="宋体"/>
                <w:color w:val="FF0000"/>
                <w:kern w:val="0"/>
                <w:szCs w:val="21"/>
                <w:highlight w:val="none"/>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rPr>
                <w:color w:val="FF0000"/>
                <w:vertAlign w:val="baseline"/>
              </w:rPr>
            </w:pPr>
            <w:r>
              <w:rPr>
                <w:rFonts w:hint="eastAsia" w:ascii="宋体" w:hAnsi="宋体"/>
                <w:color w:val="FF0000"/>
                <w:szCs w:val="21"/>
                <w:highlight w:val="none"/>
              </w:rPr>
              <w:t>开户银行：</w:t>
            </w:r>
          </w:p>
        </w:tc>
        <w:tc>
          <w:tcPr>
            <w:tcW w:w="4261" w:type="dxa"/>
            <w:noWrap w:val="0"/>
            <w:vAlign w:val="top"/>
          </w:tcPr>
          <w:p>
            <w:pPr>
              <w:rPr>
                <w:color w:val="FF0000"/>
                <w:vertAlign w:val="baseline"/>
              </w:rPr>
            </w:pPr>
            <w:r>
              <w:rPr>
                <w:rFonts w:hint="eastAsia" w:ascii="宋体" w:hAnsi="宋体"/>
                <w:color w:val="FF0000"/>
                <w:szCs w:val="21"/>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noWrap w:val="0"/>
            <w:vAlign w:val="top"/>
          </w:tcPr>
          <w:p>
            <w:pPr>
              <w:rPr>
                <w:color w:val="FF0000"/>
                <w:vertAlign w:val="baseline"/>
              </w:rPr>
            </w:pPr>
            <w:r>
              <w:rPr>
                <w:rFonts w:hint="eastAsia" w:ascii="宋体" w:hAnsi="宋体"/>
                <w:color w:val="FF0000"/>
                <w:szCs w:val="21"/>
                <w:highlight w:val="none"/>
              </w:rPr>
              <w:t xml:space="preserve">帐号：  </w:t>
            </w:r>
          </w:p>
        </w:tc>
        <w:tc>
          <w:tcPr>
            <w:tcW w:w="4261" w:type="dxa"/>
            <w:noWrap w:val="0"/>
            <w:vAlign w:val="top"/>
          </w:tcPr>
          <w:p>
            <w:pPr>
              <w:rPr>
                <w:color w:val="FF0000"/>
                <w:vertAlign w:val="baseline"/>
              </w:rPr>
            </w:pPr>
            <w:r>
              <w:rPr>
                <w:rFonts w:hint="eastAsia" w:ascii="宋体" w:hAnsi="宋体"/>
                <w:color w:val="FF0000"/>
                <w:szCs w:val="21"/>
                <w:highlight w:val="none"/>
              </w:rPr>
              <w:t>帐号：</w:t>
            </w:r>
          </w:p>
        </w:tc>
      </w:tr>
    </w:tbl>
    <w:p>
      <w:pPr>
        <w:pStyle w:val="18"/>
        <w:rPr>
          <w:rFonts w:ascii="宋体" w:hAnsi="宋体"/>
          <w:color w:val="auto"/>
          <w:sz w:val="24"/>
          <w:highlight w:val="none"/>
        </w:rPr>
      </w:pPr>
    </w:p>
    <w:p>
      <w:pPr>
        <w:pStyle w:val="18"/>
        <w:rPr>
          <w:rFonts w:ascii="宋体" w:hAnsi="宋体"/>
          <w:color w:val="auto"/>
          <w:sz w:val="24"/>
          <w:highlight w:val="none"/>
        </w:rPr>
      </w:pPr>
    </w:p>
    <w:p>
      <w:pPr>
        <w:pStyle w:val="18"/>
        <w:rPr>
          <w:rFonts w:ascii="宋体" w:hAnsi="宋体"/>
          <w:color w:val="auto"/>
          <w:sz w:val="24"/>
          <w:highlight w:val="none"/>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v.儁.">
    <w:altName w:val="宋体"/>
    <w:panose1 w:val="00000000000000000000"/>
    <w:charset w:val="86"/>
    <w:family w:val="roman"/>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29845</wp:posOffset>
              </wp:positionV>
              <wp:extent cx="943610"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3610" cy="147955"/>
                      </a:xfrm>
                      <a:prstGeom prst="rect">
                        <a:avLst/>
                      </a:prstGeom>
                      <a:noFill/>
                      <a:ln>
                        <a:noFill/>
                      </a:ln>
                      <a:effectLst/>
                    </wps:spPr>
                    <wps:txbx>
                      <w:txbxContent>
                        <w:p>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47</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2.35pt;height:11.65pt;width:74.3pt;mso-position-horizontal:center;mso-position-horizontal-relative:margin;mso-wrap-style:none;z-index:251659264;mso-width-relative:page;mso-height-relative:page;" filled="f" stroked="f" coordsize="21600,21600" o:gfxdata="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UQS5NIAAAAFAQAADwAAAAAAAAABACAAAAAiAAAA&#10;ZHJzL2Rvd25yZXYueG1sUEsBAhQAFAAAAAgAh07iQK+W8HnUAQAApQMAAA4AAAAAAAAAAQAgAAAA&#10;IQEAAGRycy9lMm9Eb2MueG1sUEsFBgAAAAAGAAYAWQEAAGcFAAAAAA==&#10;">
              <v:fill on="f" focussize="0,0"/>
              <v:stroke on="f"/>
              <v:imagedata o:title=""/>
              <o:lock v:ext="edit" aspectratio="f"/>
              <v:textbox inset="0mm,0mm,0mm,0mm" style="mso-fit-shape-to-text:t;">
                <w:txbxContent>
                  <w:p>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47</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17</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1EC"/>
    <w:multiLevelType w:val="multilevel"/>
    <w:tmpl w:val="033661EC"/>
    <w:lvl w:ilvl="0" w:tentative="0">
      <w:start w:val="1"/>
      <w:numFmt w:val="decimal"/>
      <w:lvlText w:val="%1."/>
      <w:lvlJc w:val="left"/>
      <w:pPr>
        <w:tabs>
          <w:tab w:val="left" w:pos="1680"/>
        </w:tabs>
        <w:ind w:left="1680" w:hanging="360"/>
      </w:pPr>
      <w:rPr>
        <w:rFonts w:hint="eastAsia"/>
      </w:rPr>
    </w:lvl>
    <w:lvl w:ilvl="1" w:tentative="0">
      <w:start w:val="1"/>
      <w:numFmt w:val="chineseCountingThousand"/>
      <w:lvlText w:val="第%2条"/>
      <w:lvlJc w:val="left"/>
      <w:pPr>
        <w:tabs>
          <w:tab w:val="left" w:pos="851"/>
        </w:tabs>
        <w:ind w:left="1134" w:hanging="1134"/>
      </w:pPr>
      <w:rPr>
        <w:rFonts w:hint="eastAsia"/>
      </w:rPr>
    </w:lvl>
    <w:lvl w:ilvl="2" w:tentative="0">
      <w:start w:val="1"/>
      <w:numFmt w:val="bullet"/>
      <w:lvlText w:val=""/>
      <w:lvlJc w:val="left"/>
      <w:pPr>
        <w:tabs>
          <w:tab w:val="left" w:pos="510"/>
        </w:tabs>
        <w:ind w:left="510" w:hanging="340"/>
      </w:pPr>
      <w:rPr>
        <w:rFonts w:hint="default" w:ascii="Wingdings" w:hAnsi="Wingdings"/>
      </w:rPr>
    </w:lvl>
    <w:lvl w:ilvl="3" w:tentative="0">
      <w:start w:val="1"/>
      <w:numFmt w:val="bullet"/>
      <w:lvlText w:val=""/>
      <w:lvlJc w:val="left"/>
      <w:pPr>
        <w:tabs>
          <w:tab w:val="left" w:pos="3000"/>
        </w:tabs>
        <w:ind w:left="3000" w:hanging="420"/>
      </w:pPr>
      <w:rPr>
        <w:rFonts w:hint="default" w:ascii="Wingdings" w:hAnsi="Wingdings"/>
      </w:rPr>
    </w:lvl>
    <w:lvl w:ilvl="4" w:tentative="0">
      <w:start w:val="1"/>
      <w:numFmt w:val="lowerLetter"/>
      <w:lvlText w:val="%5)"/>
      <w:lvlJc w:val="left"/>
      <w:pPr>
        <w:tabs>
          <w:tab w:val="left" w:pos="3420"/>
        </w:tabs>
        <w:ind w:left="3420" w:hanging="420"/>
      </w:pPr>
    </w:lvl>
    <w:lvl w:ilvl="5" w:tentative="0">
      <w:start w:val="1"/>
      <w:numFmt w:val="lowerRoman"/>
      <w:lvlText w:val="%6."/>
      <w:lvlJc w:val="right"/>
      <w:pPr>
        <w:tabs>
          <w:tab w:val="left" w:pos="3840"/>
        </w:tabs>
        <w:ind w:left="3840" w:hanging="420"/>
      </w:pPr>
    </w:lvl>
    <w:lvl w:ilvl="6" w:tentative="0">
      <w:start w:val="1"/>
      <w:numFmt w:val="decimal"/>
      <w:lvlText w:val="%7."/>
      <w:lvlJc w:val="left"/>
      <w:pPr>
        <w:tabs>
          <w:tab w:val="left" w:pos="4260"/>
        </w:tabs>
        <w:ind w:left="4260" w:hanging="420"/>
      </w:pPr>
    </w:lvl>
    <w:lvl w:ilvl="7" w:tentative="0">
      <w:start w:val="1"/>
      <w:numFmt w:val="lowerLetter"/>
      <w:lvlText w:val="%8)"/>
      <w:lvlJc w:val="left"/>
      <w:pPr>
        <w:tabs>
          <w:tab w:val="left" w:pos="4680"/>
        </w:tabs>
        <w:ind w:left="4680" w:hanging="420"/>
      </w:pPr>
    </w:lvl>
    <w:lvl w:ilvl="8" w:tentative="0">
      <w:start w:val="1"/>
      <w:numFmt w:val="lowerRoman"/>
      <w:lvlText w:val="%9."/>
      <w:lvlJc w:val="right"/>
      <w:pPr>
        <w:tabs>
          <w:tab w:val="left" w:pos="5100"/>
        </w:tabs>
        <w:ind w:left="5100" w:hanging="420"/>
      </w:pPr>
    </w:lvl>
  </w:abstractNum>
  <w:abstractNum w:abstractNumId="1">
    <w:nsid w:val="1E61151D"/>
    <w:multiLevelType w:val="multilevel"/>
    <w:tmpl w:val="1E61151D"/>
    <w:lvl w:ilvl="0" w:tentative="0">
      <w:start w:val="1"/>
      <w:numFmt w:val="decimal"/>
      <w:lvlText w:val="6.%1"/>
      <w:lvlJc w:val="left"/>
      <w:pPr>
        <w:tabs>
          <w:tab w:val="left" w:pos="510"/>
        </w:tabs>
        <w:ind w:left="510" w:hanging="510"/>
      </w:pPr>
      <w:rPr>
        <w:rFonts w:hint="eastAsia" w:eastAsia="宋体"/>
      </w:rPr>
    </w:lvl>
    <w:lvl w:ilvl="1" w:tentative="0">
      <w:start w:val="1"/>
      <w:numFmt w:val="bullet"/>
      <w:lvlText w:val=""/>
      <w:lvlJc w:val="left"/>
      <w:pPr>
        <w:tabs>
          <w:tab w:val="left" w:pos="816"/>
        </w:tabs>
        <w:ind w:left="816" w:hanging="396"/>
      </w:pPr>
      <w:rPr>
        <w:rFonts w:hint="default" w:ascii="Wingdings" w:hAnsi="Wingdings"/>
      </w:rPr>
    </w:lvl>
    <w:lvl w:ilvl="2" w:tentative="0">
      <w:start w:val="1"/>
      <w:numFmt w:val="lowerRoman"/>
      <w:lvlText w:val="%3."/>
      <w:lvlJc w:val="right"/>
      <w:pPr>
        <w:tabs>
          <w:tab w:val="left" w:pos="1260"/>
        </w:tabs>
        <w:ind w:left="1260" w:hanging="420"/>
      </w:pPr>
    </w:lvl>
    <w:lvl w:ilvl="3" w:tentative="0">
      <w:start w:val="6"/>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B3E47B3"/>
    <w:multiLevelType w:val="multilevel"/>
    <w:tmpl w:val="4B3E47B3"/>
    <w:lvl w:ilvl="0" w:tentative="0">
      <w:start w:val="1"/>
      <w:numFmt w:val="decimal"/>
      <w:lvlText w:val="2.%1"/>
      <w:lvlJc w:val="left"/>
      <w:pPr>
        <w:tabs>
          <w:tab w:val="left" w:pos="510"/>
        </w:tabs>
        <w:ind w:left="510" w:hanging="510"/>
      </w:pPr>
      <w:rPr>
        <w:rFonts w:hint="eastAsia" w:ascii="宋体" w:hAnsi="宋体" w:eastAsia="宋体"/>
      </w:rPr>
    </w:lvl>
    <w:lvl w:ilvl="1" w:tentative="0">
      <w:start w:val="1"/>
      <w:numFmt w:val="decimal"/>
      <w:lvlText w:val="3.%2"/>
      <w:lvlJc w:val="left"/>
      <w:pPr>
        <w:tabs>
          <w:tab w:val="left" w:pos="510"/>
        </w:tabs>
        <w:ind w:left="510" w:hanging="51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E63757D"/>
    <w:multiLevelType w:val="multilevel"/>
    <w:tmpl w:val="4E63757D"/>
    <w:lvl w:ilvl="0" w:tentative="0">
      <w:start w:val="9"/>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5C602969"/>
    <w:multiLevelType w:val="multilevel"/>
    <w:tmpl w:val="5C602969"/>
    <w:lvl w:ilvl="0" w:tentative="0">
      <w:start w:val="11"/>
      <w:numFmt w:val="decimal"/>
      <w:lvlText w:val="%1"/>
      <w:lvlJc w:val="left"/>
      <w:pPr>
        <w:tabs>
          <w:tab w:val="left" w:pos="480"/>
        </w:tabs>
        <w:ind w:left="480" w:hanging="480"/>
      </w:pPr>
      <w:rPr>
        <w:rFonts w:hint="default"/>
      </w:rPr>
    </w:lvl>
    <w:lvl w:ilvl="1" w:tentative="0">
      <w:start w:val="1"/>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6091782E"/>
    <w:multiLevelType w:val="multilevel"/>
    <w:tmpl w:val="6091782E"/>
    <w:lvl w:ilvl="0" w:tentative="0">
      <w:start w:val="10"/>
      <w:numFmt w:val="decimal"/>
      <w:lvlText w:val="%1"/>
      <w:lvlJc w:val="left"/>
      <w:pPr>
        <w:tabs>
          <w:tab w:val="left" w:pos="480"/>
        </w:tabs>
        <w:ind w:left="480" w:hanging="480"/>
      </w:pPr>
      <w:rPr>
        <w:rFonts w:hint="default"/>
      </w:rPr>
    </w:lvl>
    <w:lvl w:ilvl="1" w:tentative="0">
      <w:start w:val="1"/>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64C055C8"/>
    <w:multiLevelType w:val="multilevel"/>
    <w:tmpl w:val="64C055C8"/>
    <w:lvl w:ilvl="0" w:tentative="0">
      <w:start w:val="1"/>
      <w:numFmt w:val="decimal"/>
      <w:lvlText w:val="4.%1"/>
      <w:lvlJc w:val="left"/>
      <w:pPr>
        <w:tabs>
          <w:tab w:val="left" w:pos="510"/>
        </w:tabs>
        <w:ind w:left="510" w:hanging="51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9C4895"/>
    <w:multiLevelType w:val="multilevel"/>
    <w:tmpl w:val="6D9C4895"/>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8">
    <w:nsid w:val="77524D9D"/>
    <w:multiLevelType w:val="multilevel"/>
    <w:tmpl w:val="77524D9D"/>
    <w:lvl w:ilvl="0" w:tentative="0">
      <w:start w:val="1"/>
      <w:numFmt w:val="decimal"/>
      <w:lvlText w:val="5.%1"/>
      <w:lvlJc w:val="left"/>
      <w:pPr>
        <w:tabs>
          <w:tab w:val="left" w:pos="510"/>
        </w:tabs>
        <w:ind w:left="510" w:hanging="51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A0C6D05"/>
    <w:multiLevelType w:val="multilevel"/>
    <w:tmpl w:val="7A0C6D05"/>
    <w:lvl w:ilvl="0" w:tentative="0">
      <w:start w:val="1"/>
      <w:numFmt w:val="decimal"/>
      <w:lvlText w:val="1.%1"/>
      <w:lvlJc w:val="left"/>
      <w:pPr>
        <w:tabs>
          <w:tab w:val="left" w:pos="510"/>
        </w:tabs>
        <w:ind w:left="510" w:hanging="510"/>
      </w:pPr>
      <w:rPr>
        <w:rFonts w:hint="eastAsia" w:eastAsia="宋体"/>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9"/>
  </w:num>
  <w:num w:numId="3">
    <w:abstractNumId w:val="2"/>
  </w:num>
  <w:num w:numId="4">
    <w:abstractNumId w:val="6"/>
  </w:num>
  <w:num w:numId="5">
    <w:abstractNumId w:val="8"/>
  </w:num>
  <w:num w:numId="6">
    <w:abstractNumId w:val="1"/>
  </w:num>
  <w:num w:numId="7">
    <w:abstractNumId w:val="7"/>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AF"/>
    <w:rsid w:val="00012BBE"/>
    <w:rsid w:val="00026703"/>
    <w:rsid w:val="00026B22"/>
    <w:rsid w:val="000436AD"/>
    <w:rsid w:val="00044143"/>
    <w:rsid w:val="000548C9"/>
    <w:rsid w:val="0009132D"/>
    <w:rsid w:val="000A6D6B"/>
    <w:rsid w:val="000B254F"/>
    <w:rsid w:val="000D5DE4"/>
    <w:rsid w:val="000F577F"/>
    <w:rsid w:val="000F72CA"/>
    <w:rsid w:val="00132502"/>
    <w:rsid w:val="00132550"/>
    <w:rsid w:val="001410CD"/>
    <w:rsid w:val="001470E8"/>
    <w:rsid w:val="001657EC"/>
    <w:rsid w:val="00192CC0"/>
    <w:rsid w:val="001E5547"/>
    <w:rsid w:val="001E614F"/>
    <w:rsid w:val="001F1148"/>
    <w:rsid w:val="00207F9D"/>
    <w:rsid w:val="002268A6"/>
    <w:rsid w:val="0023231A"/>
    <w:rsid w:val="002378AE"/>
    <w:rsid w:val="00243993"/>
    <w:rsid w:val="00250FDF"/>
    <w:rsid w:val="002767DB"/>
    <w:rsid w:val="0028393F"/>
    <w:rsid w:val="002D4CEC"/>
    <w:rsid w:val="002E65A2"/>
    <w:rsid w:val="002F1A9B"/>
    <w:rsid w:val="002F3C2B"/>
    <w:rsid w:val="00307499"/>
    <w:rsid w:val="003153F6"/>
    <w:rsid w:val="0032731A"/>
    <w:rsid w:val="00343364"/>
    <w:rsid w:val="00352EEF"/>
    <w:rsid w:val="003653A4"/>
    <w:rsid w:val="003A278E"/>
    <w:rsid w:val="003B423C"/>
    <w:rsid w:val="003B7509"/>
    <w:rsid w:val="003C7D22"/>
    <w:rsid w:val="003D386B"/>
    <w:rsid w:val="003D3BEE"/>
    <w:rsid w:val="003E5860"/>
    <w:rsid w:val="00406DB4"/>
    <w:rsid w:val="00407F54"/>
    <w:rsid w:val="00426612"/>
    <w:rsid w:val="00435253"/>
    <w:rsid w:val="0043562C"/>
    <w:rsid w:val="00450E7E"/>
    <w:rsid w:val="00462F7A"/>
    <w:rsid w:val="00483318"/>
    <w:rsid w:val="0048421F"/>
    <w:rsid w:val="004916AC"/>
    <w:rsid w:val="00494885"/>
    <w:rsid w:val="004B49E6"/>
    <w:rsid w:val="004B57B4"/>
    <w:rsid w:val="004C2625"/>
    <w:rsid w:val="004D0969"/>
    <w:rsid w:val="004D0E7A"/>
    <w:rsid w:val="004D2A2B"/>
    <w:rsid w:val="004D648E"/>
    <w:rsid w:val="004F75B1"/>
    <w:rsid w:val="005125A8"/>
    <w:rsid w:val="005303E1"/>
    <w:rsid w:val="005329A9"/>
    <w:rsid w:val="00545186"/>
    <w:rsid w:val="0055398E"/>
    <w:rsid w:val="005569DC"/>
    <w:rsid w:val="00567089"/>
    <w:rsid w:val="005753CF"/>
    <w:rsid w:val="0058569B"/>
    <w:rsid w:val="0059521A"/>
    <w:rsid w:val="005A21AF"/>
    <w:rsid w:val="005E1B51"/>
    <w:rsid w:val="005E33B9"/>
    <w:rsid w:val="005F0249"/>
    <w:rsid w:val="00620D7E"/>
    <w:rsid w:val="00673846"/>
    <w:rsid w:val="0067574F"/>
    <w:rsid w:val="0068067F"/>
    <w:rsid w:val="0068473A"/>
    <w:rsid w:val="006A13C6"/>
    <w:rsid w:val="006B1668"/>
    <w:rsid w:val="006C06BF"/>
    <w:rsid w:val="006D685C"/>
    <w:rsid w:val="006E68BF"/>
    <w:rsid w:val="007120DC"/>
    <w:rsid w:val="00743253"/>
    <w:rsid w:val="0076081D"/>
    <w:rsid w:val="00766BA0"/>
    <w:rsid w:val="0077582B"/>
    <w:rsid w:val="00793CDF"/>
    <w:rsid w:val="007D1BFA"/>
    <w:rsid w:val="007E15CD"/>
    <w:rsid w:val="007F310C"/>
    <w:rsid w:val="008323FC"/>
    <w:rsid w:val="00857762"/>
    <w:rsid w:val="0087178E"/>
    <w:rsid w:val="00882CCA"/>
    <w:rsid w:val="008864F6"/>
    <w:rsid w:val="00897BB0"/>
    <w:rsid w:val="008A2ABE"/>
    <w:rsid w:val="008B4F2C"/>
    <w:rsid w:val="008C7079"/>
    <w:rsid w:val="008C74D9"/>
    <w:rsid w:val="008E238A"/>
    <w:rsid w:val="008E5CF5"/>
    <w:rsid w:val="00904D6C"/>
    <w:rsid w:val="00926DC7"/>
    <w:rsid w:val="00937DFC"/>
    <w:rsid w:val="00946D01"/>
    <w:rsid w:val="0096266C"/>
    <w:rsid w:val="00982AEC"/>
    <w:rsid w:val="0099289C"/>
    <w:rsid w:val="009C49D3"/>
    <w:rsid w:val="009E25AC"/>
    <w:rsid w:val="009F19FE"/>
    <w:rsid w:val="009F23A5"/>
    <w:rsid w:val="00A0254E"/>
    <w:rsid w:val="00A100F0"/>
    <w:rsid w:val="00A54044"/>
    <w:rsid w:val="00A546D9"/>
    <w:rsid w:val="00A63BE6"/>
    <w:rsid w:val="00A73BC7"/>
    <w:rsid w:val="00A8035C"/>
    <w:rsid w:val="00AB121A"/>
    <w:rsid w:val="00AB1B02"/>
    <w:rsid w:val="00AB2F0F"/>
    <w:rsid w:val="00AB57AF"/>
    <w:rsid w:val="00AD07C3"/>
    <w:rsid w:val="00AD0B22"/>
    <w:rsid w:val="00AD3A23"/>
    <w:rsid w:val="00AD582D"/>
    <w:rsid w:val="00AE578B"/>
    <w:rsid w:val="00B04B0F"/>
    <w:rsid w:val="00B05A9D"/>
    <w:rsid w:val="00B10DA1"/>
    <w:rsid w:val="00B119DF"/>
    <w:rsid w:val="00B2555B"/>
    <w:rsid w:val="00B6632C"/>
    <w:rsid w:val="00B67F6B"/>
    <w:rsid w:val="00B748C2"/>
    <w:rsid w:val="00B750AD"/>
    <w:rsid w:val="00B86974"/>
    <w:rsid w:val="00B92DB3"/>
    <w:rsid w:val="00BA48F7"/>
    <w:rsid w:val="00BB5612"/>
    <w:rsid w:val="00BB56D4"/>
    <w:rsid w:val="00BB6405"/>
    <w:rsid w:val="00BB7F4F"/>
    <w:rsid w:val="00BC4186"/>
    <w:rsid w:val="00C016F3"/>
    <w:rsid w:val="00C11FE3"/>
    <w:rsid w:val="00C20D8F"/>
    <w:rsid w:val="00C476DC"/>
    <w:rsid w:val="00C51E55"/>
    <w:rsid w:val="00C95240"/>
    <w:rsid w:val="00CB468F"/>
    <w:rsid w:val="00CD5C0E"/>
    <w:rsid w:val="00CE1570"/>
    <w:rsid w:val="00CE2290"/>
    <w:rsid w:val="00CF14C4"/>
    <w:rsid w:val="00CF7639"/>
    <w:rsid w:val="00D3585B"/>
    <w:rsid w:val="00D46097"/>
    <w:rsid w:val="00D746D5"/>
    <w:rsid w:val="00D75FAE"/>
    <w:rsid w:val="00D92792"/>
    <w:rsid w:val="00DA0834"/>
    <w:rsid w:val="00DA4AB7"/>
    <w:rsid w:val="00DA5CD2"/>
    <w:rsid w:val="00DA7C53"/>
    <w:rsid w:val="00DB7DF3"/>
    <w:rsid w:val="00DC3962"/>
    <w:rsid w:val="00E25FCA"/>
    <w:rsid w:val="00E4177A"/>
    <w:rsid w:val="00E46410"/>
    <w:rsid w:val="00E72215"/>
    <w:rsid w:val="00EB1A58"/>
    <w:rsid w:val="00EB7BF8"/>
    <w:rsid w:val="00EC7603"/>
    <w:rsid w:val="00EE1DAB"/>
    <w:rsid w:val="00EE3E81"/>
    <w:rsid w:val="00F02C01"/>
    <w:rsid w:val="00F327BD"/>
    <w:rsid w:val="00F32BD1"/>
    <w:rsid w:val="00F45C51"/>
    <w:rsid w:val="00F55944"/>
    <w:rsid w:val="00F7400F"/>
    <w:rsid w:val="00F9175B"/>
    <w:rsid w:val="00FA6290"/>
    <w:rsid w:val="00FB3AF5"/>
    <w:rsid w:val="00FB6A7E"/>
    <w:rsid w:val="00FC2C0A"/>
    <w:rsid w:val="00FE22A2"/>
    <w:rsid w:val="00FF1011"/>
    <w:rsid w:val="011E7026"/>
    <w:rsid w:val="014424C0"/>
    <w:rsid w:val="033F07E0"/>
    <w:rsid w:val="035B7754"/>
    <w:rsid w:val="039307AD"/>
    <w:rsid w:val="03F67657"/>
    <w:rsid w:val="061B173E"/>
    <w:rsid w:val="066259B8"/>
    <w:rsid w:val="06D31D84"/>
    <w:rsid w:val="070B5517"/>
    <w:rsid w:val="071D6B59"/>
    <w:rsid w:val="07777375"/>
    <w:rsid w:val="08501C2A"/>
    <w:rsid w:val="086A4D2A"/>
    <w:rsid w:val="08D37301"/>
    <w:rsid w:val="0F7A6F60"/>
    <w:rsid w:val="10757B56"/>
    <w:rsid w:val="10DA045C"/>
    <w:rsid w:val="11B33D77"/>
    <w:rsid w:val="13164025"/>
    <w:rsid w:val="136B4FFE"/>
    <w:rsid w:val="15254A6C"/>
    <w:rsid w:val="16AE52C6"/>
    <w:rsid w:val="188A560D"/>
    <w:rsid w:val="1C8C0701"/>
    <w:rsid w:val="1F8009B1"/>
    <w:rsid w:val="20C41A49"/>
    <w:rsid w:val="22682C8E"/>
    <w:rsid w:val="231A3A5F"/>
    <w:rsid w:val="24382AA3"/>
    <w:rsid w:val="258B4C15"/>
    <w:rsid w:val="25B80025"/>
    <w:rsid w:val="25D54AF3"/>
    <w:rsid w:val="27966AEF"/>
    <w:rsid w:val="28752F87"/>
    <w:rsid w:val="2A1956DC"/>
    <w:rsid w:val="2A850D14"/>
    <w:rsid w:val="2DED183F"/>
    <w:rsid w:val="2DEF19EC"/>
    <w:rsid w:val="30D77632"/>
    <w:rsid w:val="311E155B"/>
    <w:rsid w:val="33B6230E"/>
    <w:rsid w:val="34AA16C8"/>
    <w:rsid w:val="36315D8D"/>
    <w:rsid w:val="36CB1EA3"/>
    <w:rsid w:val="37410A2E"/>
    <w:rsid w:val="378A56E5"/>
    <w:rsid w:val="37ED0779"/>
    <w:rsid w:val="380D29D1"/>
    <w:rsid w:val="3C446D21"/>
    <w:rsid w:val="3D080C5B"/>
    <w:rsid w:val="3D0A48DE"/>
    <w:rsid w:val="3D9F626B"/>
    <w:rsid w:val="3EB777FE"/>
    <w:rsid w:val="3F987CBA"/>
    <w:rsid w:val="40F92139"/>
    <w:rsid w:val="426F1467"/>
    <w:rsid w:val="43E377AB"/>
    <w:rsid w:val="464257AC"/>
    <w:rsid w:val="46553540"/>
    <w:rsid w:val="46825068"/>
    <w:rsid w:val="47077045"/>
    <w:rsid w:val="47910A3E"/>
    <w:rsid w:val="47BE4E4C"/>
    <w:rsid w:val="483E6EE4"/>
    <w:rsid w:val="4A9E3722"/>
    <w:rsid w:val="4C531E6C"/>
    <w:rsid w:val="4CF6485F"/>
    <w:rsid w:val="4E0F500C"/>
    <w:rsid w:val="4EAF446A"/>
    <w:rsid w:val="4EDB5249"/>
    <w:rsid w:val="50DE6412"/>
    <w:rsid w:val="51EF0177"/>
    <w:rsid w:val="52EE382D"/>
    <w:rsid w:val="5412468A"/>
    <w:rsid w:val="5584013F"/>
    <w:rsid w:val="56B52ED7"/>
    <w:rsid w:val="575C51C8"/>
    <w:rsid w:val="5BEF2967"/>
    <w:rsid w:val="5BF10CE0"/>
    <w:rsid w:val="5DAB7F11"/>
    <w:rsid w:val="5DD7361A"/>
    <w:rsid w:val="5F4140BD"/>
    <w:rsid w:val="5F885F89"/>
    <w:rsid w:val="61AF6282"/>
    <w:rsid w:val="61F00697"/>
    <w:rsid w:val="64316F36"/>
    <w:rsid w:val="6490775E"/>
    <w:rsid w:val="64956F63"/>
    <w:rsid w:val="65AC7A54"/>
    <w:rsid w:val="6702629A"/>
    <w:rsid w:val="670848E5"/>
    <w:rsid w:val="67D64908"/>
    <w:rsid w:val="68B253A2"/>
    <w:rsid w:val="68DE32BB"/>
    <w:rsid w:val="696A5E58"/>
    <w:rsid w:val="6A7E55EB"/>
    <w:rsid w:val="6D3D36C2"/>
    <w:rsid w:val="6E5525CA"/>
    <w:rsid w:val="6FBB0C48"/>
    <w:rsid w:val="71BE2859"/>
    <w:rsid w:val="72357C7D"/>
    <w:rsid w:val="73945D1E"/>
    <w:rsid w:val="73C26322"/>
    <w:rsid w:val="740D5B4B"/>
    <w:rsid w:val="76341D2E"/>
    <w:rsid w:val="77027C91"/>
    <w:rsid w:val="770B7993"/>
    <w:rsid w:val="771E7DB0"/>
    <w:rsid w:val="79255E83"/>
    <w:rsid w:val="798C29F8"/>
    <w:rsid w:val="7A6852A8"/>
    <w:rsid w:val="7B174D15"/>
    <w:rsid w:val="7B183ECE"/>
    <w:rsid w:val="7B5A1A77"/>
    <w:rsid w:val="7D9E7065"/>
    <w:rsid w:val="7EE711EC"/>
    <w:rsid w:val="7F597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uiPriority w:val="0"/>
    <w:pPr>
      <w:outlineLvl w:val="1"/>
    </w:pPr>
    <w:rPr>
      <w:rFonts w:ascii="宋体" w:hAnsi="宋体"/>
      <w:sz w:val="30"/>
      <w:szCs w:val="30"/>
    </w:rPr>
  </w:style>
  <w:style w:type="paragraph" w:styleId="4">
    <w:name w:val="heading 3"/>
    <w:basedOn w:val="1"/>
    <w:next w:val="1"/>
    <w:link w:val="15"/>
    <w:uiPriority w:val="0"/>
    <w:pPr>
      <w:keepNext/>
      <w:keepLines/>
      <w:spacing w:before="260" w:after="260" w:line="416" w:lineRule="auto"/>
      <w:outlineLvl w:val="2"/>
    </w:pPr>
    <w:rPr>
      <w:rFonts w:ascii="宋体" w:hAnsi="Courier New"/>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qFormat/>
    <w:uiPriority w:val="0"/>
    <w:pPr>
      <w:ind w:left="600"/>
    </w:pPr>
    <w:rPr>
      <w:rFonts w:ascii="宋体" w:hAnsi="宋体"/>
      <w:sz w:val="24"/>
      <w:szCs w:val="24"/>
    </w:rPr>
  </w:style>
  <w:style w:type="paragraph" w:styleId="7">
    <w:name w:val="Plain Text"/>
    <w:basedOn w:val="1"/>
    <w:qFormat/>
    <w:uiPriority w:val="0"/>
    <w:rPr>
      <w:rFonts w:ascii="宋体" w:hAnsi="Courier New"/>
    </w:rPr>
  </w:style>
  <w:style w:type="paragraph" w:styleId="8">
    <w:name w:val="Balloon Text"/>
    <w:basedOn w:val="1"/>
    <w:link w:val="14"/>
    <w:semiHidden/>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table" w:styleId="12">
    <w:name w:val="Table Grid"/>
    <w:basedOn w:val="11"/>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框文本 Char"/>
    <w:basedOn w:val="13"/>
    <w:link w:val="8"/>
    <w:semiHidden/>
    <w:qFormat/>
    <w:uiPriority w:val="99"/>
    <w:rPr>
      <w:rFonts w:ascii="Calibri" w:hAnsi="Calibri" w:eastAsia="宋体" w:cs="Times New Roman"/>
      <w:sz w:val="18"/>
      <w:szCs w:val="18"/>
    </w:rPr>
  </w:style>
  <w:style w:type="character" w:customStyle="1" w:styleId="15">
    <w:name w:val="标题 3 Char"/>
    <w:link w:val="4"/>
    <w:qFormat/>
    <w:uiPriority w:val="0"/>
    <w:rPr>
      <w:rFonts w:ascii="宋体" w:hAnsi="Courier New"/>
      <w:b/>
      <w:bCs/>
      <w:sz w:val="32"/>
      <w:szCs w:val="32"/>
    </w:rPr>
  </w:style>
  <w:style w:type="paragraph" w:customStyle="1" w:styleId="16">
    <w:name w:val="Table Paragraph"/>
    <w:basedOn w:val="1"/>
    <w:qFormat/>
    <w:uiPriority w:val="0"/>
  </w:style>
  <w:style w:type="paragraph" w:customStyle="1" w:styleId="17">
    <w:name w:val="_Style 5"/>
    <w:basedOn w:val="1"/>
    <w:qFormat/>
    <w:uiPriority w:val="0"/>
    <w:pPr>
      <w:ind w:firstLine="420" w:firstLineChars="200"/>
    </w:pPr>
    <w:rPr>
      <w:rFonts w:ascii="Calibri" w:hAnsi="Calibri" w:eastAsia="宋体" w:cs="Times New Roman"/>
      <w:szCs w:val="24"/>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4147</Characters>
  <Lines>34</Lines>
  <Paragraphs>9</Paragraphs>
  <TotalTime>4</TotalTime>
  <ScaleCrop>false</ScaleCrop>
  <LinksUpToDate>false</LinksUpToDate>
  <CharactersWithSpaces>4865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2020-12-21T07:46:00Z</dcterms:created>
  <dc:creator>蒋云</dc:creator>
  <cp:lastModifiedBy>潇洒Z小鱼</cp:lastModifiedBy>
  <dcterms:modified xsi:type="dcterms:W3CDTF">2021-01-19T09:29:12Z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