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4"/>
        <w:tblpPr w:leftFromText="180" w:rightFromText="180" w:vertAnchor="text" w:horzAnchor="page" w:tblpX="1111" w:tblpY="242"/>
        <w:tblOverlap w:val="never"/>
        <w:tblW w:w="10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33"/>
        <w:gridCol w:w="1555"/>
        <w:gridCol w:w="725"/>
        <w:gridCol w:w="750"/>
        <w:gridCol w:w="1470"/>
        <w:gridCol w:w="151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预算控制价（万元）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广西警察学院弹库改建工程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具有建筑装饰装修工程资质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44.803577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=预算控制价×（1-报价优惠率）；</w:t>
            </w:r>
            <w:r>
              <w:rPr>
                <w:rFonts w:hint="eastAsia"/>
                <w:lang w:eastAsia="zh-CN"/>
              </w:rPr>
              <w:t>如报价优惠率与优惠后的最终报价不符，以报价优惠率为准计算。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报价单涂改无效。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参与报价并成为中标（成交）人后放弃中标资格的，将列入我校投标供应商黑名单并报财政厅。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递交《报价单》</w:t>
      </w:r>
      <w:r>
        <w:rPr>
          <w:rFonts w:hint="eastAsia" w:ascii="宋体" w:hAnsi="宋体"/>
          <w:b/>
          <w:bCs/>
          <w:sz w:val="24"/>
          <w:szCs w:val="24"/>
        </w:rPr>
        <w:t>需附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、受委托人身份证复印件及授权委托书（加盖公章有效）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投标保证金</w:t>
      </w:r>
      <w:r>
        <w:rPr>
          <w:rFonts w:hint="eastAsia" w:ascii="宋体" w:hAnsi="宋体"/>
          <w:b/>
          <w:bCs/>
          <w:sz w:val="24"/>
          <w:szCs w:val="24"/>
        </w:rPr>
        <w:t>转账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回执单。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91037"/>
    <w:multiLevelType w:val="singleLevel"/>
    <w:tmpl w:val="677910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5C58"/>
    <w:rsid w:val="063F3788"/>
    <w:rsid w:val="0DB478DC"/>
    <w:rsid w:val="1EC25C58"/>
    <w:rsid w:val="1F1D3D8C"/>
    <w:rsid w:val="241A6482"/>
    <w:rsid w:val="329B373E"/>
    <w:rsid w:val="576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阿甘</cp:lastModifiedBy>
  <dcterms:modified xsi:type="dcterms:W3CDTF">2021-11-26T03:00:02Z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77AA7E71BF3D4906B0B4267554F8A45B</vt:lpwstr>
  </property>
</Properties>
</file>